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E573F" w14:textId="61A73BC4" w:rsidR="0028546A" w:rsidRDefault="001F1212" w:rsidP="003B796D">
      <w:pPr>
        <w:ind w:right="-108"/>
        <w:jc w:val="right"/>
        <w:rPr>
          <w:rFonts w:ascii="Arial" w:hAnsi="Arial" w:cs="Arial"/>
          <w:b/>
          <w:sz w:val="22"/>
          <w:szCs w:val="22"/>
        </w:rPr>
      </w:pPr>
      <w:r>
        <w:rPr>
          <w:rFonts w:ascii="Arial" w:hAnsi="Arial" w:cs="Arial"/>
          <w:noProof/>
        </w:rPr>
        <w:drawing>
          <wp:anchor distT="0" distB="0" distL="114300" distR="114300" simplePos="0" relativeHeight="251658240" behindDoc="1" locked="0" layoutInCell="1" allowOverlap="1" wp14:anchorId="49E1F3C5" wp14:editId="5AF0E1A4">
            <wp:simplePos x="0" y="0"/>
            <wp:positionH relativeFrom="column">
              <wp:posOffset>828675</wp:posOffset>
            </wp:positionH>
            <wp:positionV relativeFrom="paragraph">
              <wp:posOffset>11430</wp:posOffset>
            </wp:positionV>
            <wp:extent cx="571500" cy="581025"/>
            <wp:effectExtent l="0" t="0" r="0" b="9525"/>
            <wp:wrapTight wrapText="bothSides">
              <wp:wrapPolygon edited="0">
                <wp:start x="0" y="0"/>
                <wp:lineTo x="0" y="21246"/>
                <wp:lineTo x="20880" y="21246"/>
                <wp:lineTo x="20880" y="0"/>
                <wp:lineTo x="0" y="0"/>
              </wp:wrapPolygon>
            </wp:wrapTight>
            <wp:docPr id="1"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F7BC500" w14:textId="42E46B0E" w:rsidR="0028546A" w:rsidRDefault="0028546A" w:rsidP="003B796D">
      <w:pPr>
        <w:ind w:right="-108" w:firstLine="720"/>
        <w:jc w:val="right"/>
        <w:rPr>
          <w:rFonts w:ascii="Arial" w:hAnsi="Arial" w:cs="Arial"/>
          <w:b/>
        </w:rPr>
      </w:pPr>
    </w:p>
    <w:p w14:paraId="4AA4CDE6" w14:textId="274F5489" w:rsidR="0028546A" w:rsidRDefault="0028546A" w:rsidP="003B796D">
      <w:pPr>
        <w:ind w:right="-108"/>
        <w:jc w:val="right"/>
        <w:rPr>
          <w:rFonts w:ascii="Arial" w:hAnsi="Arial" w:cs="Arial"/>
          <w:b/>
        </w:rPr>
      </w:pPr>
    </w:p>
    <w:p w14:paraId="28E46347" w14:textId="4D7BD539" w:rsidR="0028546A" w:rsidRDefault="0028546A" w:rsidP="003B796D">
      <w:pPr>
        <w:tabs>
          <w:tab w:val="center" w:pos="5760"/>
        </w:tabs>
        <w:jc w:val="right"/>
        <w:rPr>
          <w:rFonts w:ascii="Arial" w:hAnsi="Arial" w:cs="Arial"/>
          <w:sz w:val="20"/>
          <w:szCs w:val="20"/>
        </w:rPr>
      </w:pPr>
    </w:p>
    <w:p w14:paraId="649BD5DB" w14:textId="461BD660" w:rsidR="0028546A" w:rsidRPr="00A045A2" w:rsidRDefault="0028546A" w:rsidP="003B796D">
      <w:pPr>
        <w:tabs>
          <w:tab w:val="center" w:pos="1890"/>
        </w:tabs>
        <w:ind w:left="-18"/>
        <w:rPr>
          <w:rFonts w:ascii="Arial" w:hAnsi="Arial" w:cs="Arial"/>
          <w:b/>
          <w:color w:val="003DCC"/>
          <w:sz w:val="20"/>
          <w:szCs w:val="20"/>
        </w:rPr>
      </w:pPr>
      <w:r>
        <w:rPr>
          <w:rFonts w:ascii="Arial" w:hAnsi="Arial" w:cs="Arial"/>
          <w:b/>
          <w:color w:val="003DCC"/>
          <w:sz w:val="20"/>
          <w:szCs w:val="20"/>
        </w:rPr>
        <w:tab/>
      </w:r>
      <w:r w:rsidRPr="00A045A2">
        <w:rPr>
          <w:rFonts w:ascii="Arial" w:hAnsi="Arial" w:cs="Arial"/>
          <w:b/>
          <w:color w:val="003DCC"/>
          <w:sz w:val="20"/>
          <w:szCs w:val="20"/>
        </w:rPr>
        <w:t>ΕΛΛΗΝΙΚΗ ΔΗΜΟΚΡΑΤΙΑ</w:t>
      </w:r>
    </w:p>
    <w:p w14:paraId="496829FE" w14:textId="34FC0D4C" w:rsidR="0028546A" w:rsidRPr="00A045A2" w:rsidRDefault="0028546A" w:rsidP="003B796D">
      <w:pPr>
        <w:tabs>
          <w:tab w:val="center" w:pos="1890"/>
        </w:tabs>
        <w:ind w:left="-18"/>
        <w:rPr>
          <w:rFonts w:ascii="Arial" w:hAnsi="Arial" w:cs="Arial"/>
          <w:color w:val="003DCC"/>
          <w:sz w:val="20"/>
          <w:szCs w:val="20"/>
        </w:rPr>
      </w:pPr>
      <w:bookmarkStart w:id="0" w:name="ΤΙΤΛΟΣ_1"/>
      <w:r>
        <w:rPr>
          <w:rFonts w:ascii="Arial" w:hAnsi="Arial" w:cs="Arial"/>
          <w:color w:val="003DCC"/>
          <w:sz w:val="20"/>
          <w:szCs w:val="20"/>
        </w:rPr>
        <w:tab/>
      </w:r>
      <w:r w:rsidRPr="00A045A2">
        <w:rPr>
          <w:rFonts w:ascii="Arial" w:hAnsi="Arial" w:cs="Arial"/>
          <w:color w:val="003DCC"/>
          <w:sz w:val="20"/>
          <w:szCs w:val="20"/>
        </w:rPr>
        <w:t>Πρεσβεία της Ελλάδος</w:t>
      </w:r>
      <w:bookmarkEnd w:id="0"/>
    </w:p>
    <w:p w14:paraId="0CAE6840" w14:textId="4496F014" w:rsidR="0028546A" w:rsidRDefault="0028546A" w:rsidP="003B796D">
      <w:pPr>
        <w:tabs>
          <w:tab w:val="center" w:pos="1890"/>
          <w:tab w:val="center" w:pos="5760"/>
        </w:tabs>
        <w:rPr>
          <w:rFonts w:ascii="Arial" w:hAnsi="Arial" w:cs="Arial"/>
          <w:color w:val="003DCC"/>
          <w:sz w:val="20"/>
          <w:szCs w:val="20"/>
        </w:rPr>
      </w:pPr>
      <w:r>
        <w:rPr>
          <w:rFonts w:ascii="Arial" w:hAnsi="Arial" w:cs="Arial"/>
          <w:color w:val="003DCC"/>
          <w:sz w:val="20"/>
          <w:szCs w:val="20"/>
        </w:rPr>
        <w:tab/>
      </w:r>
      <w:r w:rsidRPr="00A045A2">
        <w:rPr>
          <w:rFonts w:ascii="Arial" w:hAnsi="Arial" w:cs="Arial"/>
          <w:color w:val="003DCC"/>
          <w:sz w:val="20"/>
          <w:szCs w:val="20"/>
        </w:rPr>
        <w:t>Ουάσιγκτων</w:t>
      </w:r>
    </w:p>
    <w:p w14:paraId="25B6E9B0" w14:textId="6ABA0D0F" w:rsidR="0028546A" w:rsidRPr="0028546A" w:rsidRDefault="0028546A" w:rsidP="003B796D">
      <w:pPr>
        <w:tabs>
          <w:tab w:val="center" w:pos="1890"/>
        </w:tabs>
        <w:ind w:left="-18"/>
        <w:rPr>
          <w:rFonts w:ascii="Arial" w:hAnsi="Arial" w:cs="Arial"/>
          <w:color w:val="003DCC"/>
          <w:sz w:val="18"/>
          <w:szCs w:val="18"/>
        </w:rPr>
      </w:pPr>
      <w:bookmarkStart w:id="1" w:name="ΤΙΤΛΟΣ_2"/>
      <w:r w:rsidRPr="0028546A">
        <w:rPr>
          <w:rFonts w:ascii="Arial" w:hAnsi="Arial" w:cs="Arial"/>
          <w:color w:val="003DCC"/>
          <w:sz w:val="18"/>
          <w:szCs w:val="18"/>
        </w:rPr>
        <w:tab/>
        <w:t>Γραφείο Οικονομικών &amp; Εμπορικών Υποθέσεων</w:t>
      </w:r>
      <w:bookmarkEnd w:id="1"/>
    </w:p>
    <w:p w14:paraId="1A3B6729" w14:textId="1E115A6C" w:rsidR="0028546A" w:rsidRDefault="0028546A" w:rsidP="003B796D">
      <w:pPr>
        <w:tabs>
          <w:tab w:val="center" w:pos="1890"/>
          <w:tab w:val="center" w:pos="5580"/>
        </w:tabs>
        <w:rPr>
          <w:rFonts w:ascii="Arial" w:hAnsi="Arial" w:cs="Arial"/>
          <w:sz w:val="20"/>
          <w:szCs w:val="20"/>
        </w:rPr>
      </w:pPr>
      <w:r w:rsidRPr="002371AB">
        <w:rPr>
          <w:rFonts w:ascii="Arial" w:hAnsi="Arial" w:cs="Arial"/>
          <w:sz w:val="16"/>
          <w:szCs w:val="16"/>
        </w:rPr>
        <w:tab/>
      </w:r>
    </w:p>
    <w:p w14:paraId="6191A422" w14:textId="2B52970D" w:rsidR="0028546A" w:rsidRDefault="0028546A" w:rsidP="003B796D">
      <w:pPr>
        <w:tabs>
          <w:tab w:val="center" w:pos="5760"/>
        </w:tabs>
        <w:jc w:val="right"/>
        <w:rPr>
          <w:rFonts w:ascii="Arial" w:hAnsi="Arial" w:cs="Arial"/>
          <w:sz w:val="20"/>
          <w:szCs w:val="20"/>
        </w:rPr>
      </w:pPr>
    </w:p>
    <w:p w14:paraId="09D93D37" w14:textId="71AF029F" w:rsidR="0028546A" w:rsidRPr="0028546A" w:rsidRDefault="0028546A" w:rsidP="003B796D">
      <w:pPr>
        <w:tabs>
          <w:tab w:val="center" w:pos="5760"/>
        </w:tabs>
        <w:jc w:val="right"/>
        <w:rPr>
          <w:rFonts w:ascii="Arial" w:hAnsi="Arial" w:cs="Arial"/>
          <w:sz w:val="20"/>
          <w:szCs w:val="20"/>
        </w:rPr>
      </w:pPr>
      <w:r w:rsidRPr="0028546A">
        <w:rPr>
          <w:rFonts w:ascii="Arial" w:hAnsi="Arial" w:cs="Arial"/>
          <w:sz w:val="20"/>
          <w:szCs w:val="20"/>
        </w:rPr>
        <w:t xml:space="preserve">Ουάσιγκτων, </w:t>
      </w:r>
      <w:r w:rsidR="00134591">
        <w:rPr>
          <w:rFonts w:ascii="Arial" w:hAnsi="Arial" w:cs="Arial"/>
          <w:sz w:val="20"/>
          <w:szCs w:val="20"/>
        </w:rPr>
        <w:t>5</w:t>
      </w:r>
      <w:r w:rsidR="00A6623B" w:rsidRPr="00A6623B">
        <w:rPr>
          <w:rFonts w:ascii="Arial" w:hAnsi="Arial" w:cs="Arial"/>
          <w:sz w:val="20"/>
          <w:szCs w:val="20"/>
        </w:rPr>
        <w:t xml:space="preserve"> </w:t>
      </w:r>
      <w:r w:rsidR="00134591">
        <w:rPr>
          <w:rFonts w:ascii="Arial" w:hAnsi="Arial" w:cs="Arial"/>
          <w:sz w:val="20"/>
          <w:szCs w:val="20"/>
        </w:rPr>
        <w:t>Ιανουα</w:t>
      </w:r>
      <w:r w:rsidRPr="0028546A">
        <w:rPr>
          <w:rFonts w:ascii="Arial" w:hAnsi="Arial" w:cs="Arial"/>
          <w:sz w:val="20"/>
          <w:szCs w:val="20"/>
        </w:rPr>
        <w:t>ρίου 202</w:t>
      </w:r>
      <w:r w:rsidR="00134591">
        <w:rPr>
          <w:rFonts w:ascii="Arial" w:hAnsi="Arial" w:cs="Arial"/>
          <w:sz w:val="20"/>
          <w:szCs w:val="20"/>
        </w:rPr>
        <w:t>6</w:t>
      </w:r>
    </w:p>
    <w:p w14:paraId="0A141B2A" w14:textId="2D054EAD" w:rsidR="0004144E" w:rsidRDefault="0004144E" w:rsidP="003B796D">
      <w:pPr>
        <w:tabs>
          <w:tab w:val="center" w:pos="5760"/>
        </w:tabs>
        <w:jc w:val="both"/>
        <w:rPr>
          <w:rFonts w:ascii="Arial" w:hAnsi="Arial" w:cs="Arial"/>
          <w:sz w:val="20"/>
          <w:szCs w:val="20"/>
        </w:rPr>
      </w:pPr>
    </w:p>
    <w:p w14:paraId="3FA7FB58" w14:textId="77777777" w:rsidR="00951AAE" w:rsidRDefault="00951AAE" w:rsidP="003B796D">
      <w:pPr>
        <w:tabs>
          <w:tab w:val="center" w:pos="5760"/>
        </w:tabs>
        <w:jc w:val="both"/>
        <w:rPr>
          <w:rFonts w:ascii="Arial" w:hAnsi="Arial" w:cs="Arial"/>
          <w:sz w:val="20"/>
          <w:szCs w:val="20"/>
        </w:rPr>
      </w:pPr>
    </w:p>
    <w:p w14:paraId="7549E317" w14:textId="5662E941" w:rsidR="00F75E4F" w:rsidRDefault="00F75E4F" w:rsidP="003B796D">
      <w:pPr>
        <w:tabs>
          <w:tab w:val="center" w:pos="5760"/>
        </w:tabs>
        <w:ind w:left="720" w:hanging="720"/>
        <w:jc w:val="both"/>
        <w:rPr>
          <w:rFonts w:ascii="Arial" w:hAnsi="Arial" w:cs="Arial"/>
          <w:b/>
          <w:sz w:val="20"/>
          <w:szCs w:val="20"/>
        </w:rPr>
      </w:pPr>
    </w:p>
    <w:p w14:paraId="2B9B3D5A" w14:textId="77777777" w:rsidR="009F1619" w:rsidRDefault="009F1619" w:rsidP="003B796D">
      <w:pPr>
        <w:tabs>
          <w:tab w:val="center" w:pos="5760"/>
        </w:tabs>
        <w:ind w:left="720" w:hanging="720"/>
        <w:jc w:val="both"/>
        <w:rPr>
          <w:rFonts w:ascii="Arial" w:hAnsi="Arial" w:cs="Arial"/>
          <w:b/>
          <w:sz w:val="20"/>
          <w:szCs w:val="20"/>
        </w:rPr>
      </w:pPr>
    </w:p>
    <w:p w14:paraId="5EC205CD" w14:textId="77777777" w:rsidR="00F75E4F" w:rsidRDefault="00F75E4F" w:rsidP="003B796D">
      <w:pPr>
        <w:tabs>
          <w:tab w:val="center" w:pos="5760"/>
        </w:tabs>
        <w:ind w:left="720" w:hanging="720"/>
        <w:jc w:val="both"/>
        <w:rPr>
          <w:rFonts w:ascii="Arial" w:hAnsi="Arial" w:cs="Arial"/>
          <w:b/>
          <w:sz w:val="20"/>
          <w:szCs w:val="20"/>
        </w:rPr>
      </w:pPr>
    </w:p>
    <w:p w14:paraId="2426FEBE" w14:textId="67ACB59A" w:rsidR="001F1212" w:rsidRPr="009F1619" w:rsidRDefault="00134591" w:rsidP="009F1619">
      <w:pPr>
        <w:tabs>
          <w:tab w:val="center" w:pos="5760"/>
        </w:tabs>
        <w:ind w:left="720" w:hanging="720"/>
        <w:jc w:val="center"/>
        <w:rPr>
          <w:rFonts w:ascii="Arial" w:hAnsi="Arial" w:cs="Arial"/>
          <w:b/>
          <w:sz w:val="20"/>
          <w:szCs w:val="20"/>
        </w:rPr>
      </w:pPr>
      <w:r w:rsidRPr="009F1619">
        <w:rPr>
          <w:rFonts w:ascii="Arial" w:hAnsi="Arial" w:cs="Arial"/>
          <w:b/>
          <w:sz w:val="20"/>
          <w:szCs w:val="20"/>
        </w:rPr>
        <w:t xml:space="preserve">Σχέσεις ΗΠΑ – Βενεζουέλας στον </w:t>
      </w:r>
      <w:r w:rsidR="00C853EF" w:rsidRPr="009F1619">
        <w:rPr>
          <w:rFonts w:ascii="Arial" w:hAnsi="Arial" w:cs="Arial"/>
          <w:b/>
          <w:sz w:val="20"/>
          <w:szCs w:val="20"/>
        </w:rPr>
        <w:t>πετρελαϊκό</w:t>
      </w:r>
      <w:r w:rsidRPr="009F1619">
        <w:rPr>
          <w:rFonts w:ascii="Arial" w:hAnsi="Arial" w:cs="Arial"/>
          <w:b/>
          <w:sz w:val="20"/>
          <w:szCs w:val="20"/>
        </w:rPr>
        <w:t xml:space="preserve"> τομέα</w:t>
      </w:r>
    </w:p>
    <w:p w14:paraId="0AE804DD" w14:textId="77777777" w:rsidR="00134591" w:rsidRDefault="00134591" w:rsidP="003B796D">
      <w:pPr>
        <w:tabs>
          <w:tab w:val="center" w:pos="5760"/>
        </w:tabs>
        <w:rPr>
          <w:rFonts w:ascii="Arial" w:hAnsi="Arial" w:cs="Arial"/>
          <w:sz w:val="20"/>
          <w:szCs w:val="20"/>
        </w:rPr>
      </w:pPr>
    </w:p>
    <w:p w14:paraId="43727AB8" w14:textId="77777777" w:rsidR="009F1619" w:rsidRDefault="009F1619" w:rsidP="003B796D">
      <w:pPr>
        <w:spacing w:after="200"/>
        <w:rPr>
          <w:rFonts w:ascii="Arial" w:hAnsi="Arial" w:cs="Arial"/>
          <w:b/>
          <w:sz w:val="20"/>
          <w:szCs w:val="20"/>
        </w:rPr>
      </w:pPr>
    </w:p>
    <w:p w14:paraId="7A7E3277" w14:textId="77777777" w:rsidR="009F1619" w:rsidRDefault="009F1619" w:rsidP="003B796D">
      <w:pPr>
        <w:spacing w:after="200"/>
        <w:rPr>
          <w:rFonts w:ascii="Arial" w:hAnsi="Arial" w:cs="Arial"/>
          <w:b/>
          <w:sz w:val="20"/>
          <w:szCs w:val="20"/>
        </w:rPr>
      </w:pPr>
    </w:p>
    <w:p w14:paraId="483AEC21" w14:textId="19DAD085" w:rsidR="00067419" w:rsidRPr="00067419" w:rsidRDefault="00067419" w:rsidP="003B796D">
      <w:pPr>
        <w:spacing w:after="200"/>
        <w:rPr>
          <w:rFonts w:ascii="Arial" w:hAnsi="Arial" w:cs="Arial"/>
          <w:b/>
          <w:sz w:val="20"/>
          <w:szCs w:val="20"/>
        </w:rPr>
      </w:pPr>
      <w:r w:rsidRPr="00067419">
        <w:rPr>
          <w:rFonts w:ascii="Arial" w:hAnsi="Arial" w:cs="Arial"/>
          <w:b/>
          <w:sz w:val="20"/>
          <w:szCs w:val="20"/>
        </w:rPr>
        <w:t>Σύνοψη</w:t>
      </w:r>
    </w:p>
    <w:p w14:paraId="51333AEC" w14:textId="7F7414C6" w:rsidR="00067419" w:rsidRDefault="0082399B" w:rsidP="002531A5">
      <w:pPr>
        <w:spacing w:after="200"/>
        <w:jc w:val="both"/>
        <w:rPr>
          <w:rFonts w:ascii="Arial" w:hAnsi="Arial" w:cs="Arial"/>
          <w:sz w:val="20"/>
          <w:szCs w:val="20"/>
        </w:rPr>
      </w:pPr>
      <w:r>
        <w:rPr>
          <w:rFonts w:ascii="Arial" w:hAnsi="Arial" w:cs="Arial"/>
          <w:sz w:val="20"/>
          <w:szCs w:val="20"/>
        </w:rPr>
        <w:t>Η</w:t>
      </w:r>
      <w:r w:rsidRPr="0082399B">
        <w:rPr>
          <w:rFonts w:ascii="Arial" w:hAnsi="Arial" w:cs="Arial"/>
          <w:sz w:val="20"/>
          <w:szCs w:val="20"/>
        </w:rPr>
        <w:t xml:space="preserve"> </w:t>
      </w:r>
      <w:r>
        <w:rPr>
          <w:rFonts w:ascii="Arial" w:hAnsi="Arial" w:cs="Arial"/>
          <w:sz w:val="20"/>
          <w:szCs w:val="20"/>
          <w:lang w:val="en-US"/>
        </w:rPr>
        <w:t>Chevron</w:t>
      </w:r>
      <w:r w:rsidRPr="0082399B">
        <w:rPr>
          <w:rFonts w:ascii="Arial" w:hAnsi="Arial" w:cs="Arial"/>
          <w:sz w:val="20"/>
          <w:szCs w:val="20"/>
        </w:rPr>
        <w:t xml:space="preserve"> </w:t>
      </w:r>
      <w:r>
        <w:rPr>
          <w:rFonts w:ascii="Arial" w:hAnsi="Arial" w:cs="Arial"/>
          <w:sz w:val="20"/>
          <w:szCs w:val="20"/>
        </w:rPr>
        <w:t>είναι η μόνη ενεργή πετρελαϊκή εταιρεία των ΗΠΑ στην Βενεζουέλα</w:t>
      </w:r>
      <w:r w:rsidR="002531A5">
        <w:rPr>
          <w:rFonts w:ascii="Arial" w:hAnsi="Arial" w:cs="Arial"/>
          <w:sz w:val="20"/>
          <w:szCs w:val="20"/>
        </w:rPr>
        <w:t>,</w:t>
      </w:r>
      <w:r>
        <w:rPr>
          <w:rFonts w:ascii="Arial" w:hAnsi="Arial" w:cs="Arial"/>
          <w:sz w:val="20"/>
          <w:szCs w:val="20"/>
        </w:rPr>
        <w:t xml:space="preserve"> με παραγωγή που κατευθύνεται κυρίως στις ΗΠΑ. Οι </w:t>
      </w:r>
      <w:proofErr w:type="spellStart"/>
      <w:r w:rsidRPr="00F10892">
        <w:rPr>
          <w:rFonts w:ascii="Arial" w:hAnsi="Arial" w:cs="Arial"/>
          <w:sz w:val="20"/>
          <w:szCs w:val="20"/>
        </w:rPr>
        <w:t>ExxonMobil</w:t>
      </w:r>
      <w:proofErr w:type="spellEnd"/>
      <w:r w:rsidRPr="00F10892">
        <w:rPr>
          <w:rFonts w:ascii="Arial" w:hAnsi="Arial" w:cs="Arial"/>
          <w:sz w:val="20"/>
          <w:szCs w:val="20"/>
        </w:rPr>
        <w:t xml:space="preserve"> και </w:t>
      </w:r>
      <w:proofErr w:type="spellStart"/>
      <w:r w:rsidRPr="00F10892">
        <w:rPr>
          <w:rFonts w:ascii="Arial" w:hAnsi="Arial" w:cs="Arial"/>
          <w:sz w:val="20"/>
          <w:szCs w:val="20"/>
        </w:rPr>
        <w:t>ConocoPhillips</w:t>
      </w:r>
      <w:proofErr w:type="spellEnd"/>
      <w:r>
        <w:rPr>
          <w:rFonts w:ascii="Arial" w:hAnsi="Arial" w:cs="Arial"/>
          <w:sz w:val="20"/>
          <w:szCs w:val="20"/>
        </w:rPr>
        <w:t xml:space="preserve"> εγκατέλειψαν των χώρα μετά την εθνικοποίηση του 2007 και διατηρούν απαιτήσεις πολλών δισεκατομμυρίων δολλαρίων. Επιδίωξη των ΗΠΑ φαίνεται ότι είναι η επανεγκατάσταση των εταιρειών στις επενδύσεις που απώλεσαν και ο κεντρικός ρόλος στην πετρελαϊκή οικονομία της Βενεζουέλας.</w:t>
      </w:r>
    </w:p>
    <w:p w14:paraId="68C24913" w14:textId="7D2ADAE4" w:rsidR="0082399B" w:rsidRPr="0082399B" w:rsidRDefault="0082399B" w:rsidP="002531A5">
      <w:pPr>
        <w:spacing w:after="200"/>
        <w:jc w:val="both"/>
        <w:rPr>
          <w:rFonts w:ascii="Arial" w:hAnsi="Arial" w:cs="Arial"/>
          <w:sz w:val="20"/>
          <w:szCs w:val="20"/>
        </w:rPr>
      </w:pPr>
      <w:r>
        <w:rPr>
          <w:rFonts w:ascii="Arial" w:hAnsi="Arial" w:cs="Arial"/>
          <w:sz w:val="20"/>
          <w:szCs w:val="20"/>
        </w:rPr>
        <w:t>Η Βενεζουέλα διαθέτει τα μεγαλύτερα αποθέματα πετρελαίου παγκοσμίως, όμως ο κλάδος βρίσκεται σε δεινή κατάσταση</w:t>
      </w:r>
      <w:r w:rsidR="002531A5">
        <w:rPr>
          <w:rFonts w:ascii="Arial" w:hAnsi="Arial" w:cs="Arial"/>
          <w:sz w:val="20"/>
          <w:szCs w:val="20"/>
        </w:rPr>
        <w:t>,</w:t>
      </w:r>
      <w:r>
        <w:rPr>
          <w:rFonts w:ascii="Arial" w:hAnsi="Arial" w:cs="Arial"/>
          <w:sz w:val="20"/>
          <w:szCs w:val="20"/>
        </w:rPr>
        <w:t xml:space="preserve"> με πολύ χαμηλό επίπεδο παραγωγής</w:t>
      </w:r>
      <w:r w:rsidR="002531A5">
        <w:rPr>
          <w:rFonts w:ascii="Arial" w:hAnsi="Arial" w:cs="Arial"/>
          <w:sz w:val="20"/>
          <w:szCs w:val="20"/>
        </w:rPr>
        <w:t>,</w:t>
      </w:r>
      <w:r>
        <w:rPr>
          <w:rFonts w:ascii="Arial" w:hAnsi="Arial" w:cs="Arial"/>
          <w:sz w:val="20"/>
          <w:szCs w:val="20"/>
        </w:rPr>
        <w:t xml:space="preserve"> και η επάνοδός του θα απαιτήσει πολλά χρόνια και τεράστια κεφάλαια.</w:t>
      </w:r>
    </w:p>
    <w:p w14:paraId="20068E94" w14:textId="77777777" w:rsidR="0082399B" w:rsidRDefault="0082399B" w:rsidP="002531A5">
      <w:pPr>
        <w:spacing w:after="200"/>
        <w:jc w:val="both"/>
        <w:rPr>
          <w:rFonts w:ascii="Arial" w:hAnsi="Arial" w:cs="Arial"/>
          <w:sz w:val="20"/>
          <w:szCs w:val="20"/>
        </w:rPr>
      </w:pPr>
      <w:r>
        <w:rPr>
          <w:rFonts w:ascii="Arial" w:hAnsi="Arial" w:cs="Arial"/>
          <w:sz w:val="20"/>
          <w:szCs w:val="20"/>
        </w:rPr>
        <w:t>Οι ΗΠΑ πιθανώς επιδιώκουν να κατευθύνουν τις εξαγωγές πετρελαίου προς τα δικά τους διϋλιστήρια, με στόχο την μείωση του κόστους καυσίμων για την βιομηχανία και τους καταναλωτές της χώρας.</w:t>
      </w:r>
    </w:p>
    <w:p w14:paraId="38319EA4" w14:textId="77777777" w:rsidR="009F1619" w:rsidRDefault="009F1619" w:rsidP="001E3806">
      <w:pPr>
        <w:spacing w:after="120"/>
        <w:rPr>
          <w:rFonts w:ascii="Arial" w:hAnsi="Arial" w:cs="Arial"/>
          <w:sz w:val="20"/>
          <w:szCs w:val="20"/>
        </w:rPr>
      </w:pPr>
    </w:p>
    <w:p w14:paraId="440AE994" w14:textId="7D8D7E42" w:rsidR="00067419" w:rsidRPr="00067419" w:rsidRDefault="00067419" w:rsidP="001E3806">
      <w:pPr>
        <w:spacing w:after="120"/>
        <w:rPr>
          <w:rFonts w:ascii="Arial" w:hAnsi="Arial" w:cs="Arial"/>
          <w:sz w:val="20"/>
          <w:szCs w:val="20"/>
        </w:rPr>
      </w:pPr>
      <w:r>
        <w:rPr>
          <w:rFonts w:ascii="Arial" w:hAnsi="Arial" w:cs="Arial"/>
          <w:sz w:val="20"/>
          <w:szCs w:val="20"/>
        </w:rPr>
        <w:t>Αναλυτικότερα</w:t>
      </w:r>
      <w:r w:rsidRPr="00067419">
        <w:rPr>
          <w:rFonts w:ascii="Arial" w:hAnsi="Arial" w:cs="Arial"/>
          <w:sz w:val="20"/>
          <w:szCs w:val="20"/>
        </w:rPr>
        <w:t>:</w:t>
      </w:r>
    </w:p>
    <w:p w14:paraId="373B76FF" w14:textId="77777777" w:rsidR="00F323E8" w:rsidRDefault="00134591" w:rsidP="00F323E8">
      <w:pPr>
        <w:rPr>
          <w:rFonts w:ascii="Arial" w:hAnsi="Arial" w:cs="Arial"/>
          <w:sz w:val="20"/>
          <w:szCs w:val="20"/>
        </w:rPr>
      </w:pPr>
      <w:r>
        <w:rPr>
          <w:rFonts w:ascii="Arial" w:hAnsi="Arial" w:cs="Arial"/>
          <w:sz w:val="20"/>
          <w:szCs w:val="20"/>
        </w:rPr>
        <w:t>Α. Παρουσία πετρελαϊκών εταιρειών ΗΠΑ στην Βενεζουέλα</w:t>
      </w:r>
      <w:r w:rsidR="00067419" w:rsidRPr="00067419">
        <w:rPr>
          <w:rFonts w:ascii="Arial" w:hAnsi="Arial" w:cs="Arial"/>
          <w:sz w:val="20"/>
          <w:szCs w:val="20"/>
        </w:rPr>
        <w:t xml:space="preserve"> (2000 </w:t>
      </w:r>
      <w:r w:rsidR="00067419">
        <w:rPr>
          <w:rFonts w:ascii="Arial" w:hAnsi="Arial" w:cs="Arial"/>
          <w:sz w:val="20"/>
          <w:szCs w:val="20"/>
        </w:rPr>
        <w:t>–</w:t>
      </w:r>
      <w:r w:rsidR="00067419" w:rsidRPr="00067419">
        <w:rPr>
          <w:rFonts w:ascii="Arial" w:hAnsi="Arial" w:cs="Arial"/>
          <w:sz w:val="20"/>
          <w:szCs w:val="20"/>
        </w:rPr>
        <w:t xml:space="preserve"> 2026)</w:t>
      </w:r>
    </w:p>
    <w:p w14:paraId="7F50D3DF" w14:textId="732B217F" w:rsidR="00F323E8" w:rsidRPr="00F323E8" w:rsidRDefault="00F323E8" w:rsidP="00F323E8">
      <w:pPr>
        <w:ind w:left="360" w:hanging="360"/>
        <w:rPr>
          <w:rFonts w:ascii="Arial" w:hAnsi="Arial" w:cs="Arial"/>
          <w:sz w:val="20"/>
          <w:szCs w:val="20"/>
        </w:rPr>
      </w:pPr>
      <w:r w:rsidRPr="00F323E8">
        <w:rPr>
          <w:rFonts w:ascii="Arial" w:hAnsi="Arial" w:cs="Arial"/>
          <w:sz w:val="20"/>
          <w:szCs w:val="20"/>
        </w:rPr>
        <w:t xml:space="preserve">Β. Δραστηριότητες </w:t>
      </w:r>
      <w:r w:rsidRPr="00F323E8">
        <w:rPr>
          <w:rFonts w:ascii="Arial" w:hAnsi="Arial" w:cs="Arial"/>
          <w:sz w:val="20"/>
          <w:szCs w:val="20"/>
          <w:lang w:val="en-US"/>
        </w:rPr>
        <w:t>Chevron</w:t>
      </w:r>
      <w:r w:rsidRPr="00F323E8">
        <w:rPr>
          <w:rFonts w:ascii="Arial" w:hAnsi="Arial" w:cs="Arial"/>
          <w:sz w:val="20"/>
          <w:szCs w:val="20"/>
        </w:rPr>
        <w:t xml:space="preserve"> </w:t>
      </w:r>
    </w:p>
    <w:p w14:paraId="6699B580" w14:textId="0F600EF9" w:rsidR="00067419" w:rsidRPr="00067419" w:rsidRDefault="00F323E8" w:rsidP="003B796D">
      <w:pPr>
        <w:spacing w:after="200"/>
        <w:rPr>
          <w:rFonts w:ascii="Arial" w:hAnsi="Arial" w:cs="Arial"/>
          <w:sz w:val="20"/>
          <w:szCs w:val="20"/>
        </w:rPr>
      </w:pPr>
      <w:r>
        <w:rPr>
          <w:rFonts w:ascii="Arial" w:hAnsi="Arial" w:cs="Arial"/>
          <w:sz w:val="20"/>
          <w:szCs w:val="20"/>
        </w:rPr>
        <w:t>Γ</w:t>
      </w:r>
      <w:r w:rsidR="006A1EF4">
        <w:rPr>
          <w:rFonts w:ascii="Arial" w:hAnsi="Arial" w:cs="Arial"/>
          <w:sz w:val="20"/>
          <w:szCs w:val="20"/>
        </w:rPr>
        <w:t>. Παγκόσμια αποθέματα πετρελαίου</w:t>
      </w:r>
      <w:r w:rsidR="006A1EF4" w:rsidRPr="00067419">
        <w:rPr>
          <w:rFonts w:ascii="Arial" w:hAnsi="Arial" w:cs="Arial"/>
          <w:sz w:val="20"/>
          <w:szCs w:val="20"/>
        </w:rPr>
        <w:t xml:space="preserve"> (2020)</w:t>
      </w:r>
      <w:r w:rsidR="006A1EF4">
        <w:rPr>
          <w:rFonts w:ascii="Arial" w:hAnsi="Arial" w:cs="Arial"/>
          <w:sz w:val="20"/>
          <w:szCs w:val="20"/>
        </w:rPr>
        <w:br/>
      </w:r>
      <w:r>
        <w:rPr>
          <w:rFonts w:ascii="Arial" w:hAnsi="Arial" w:cs="Arial"/>
          <w:sz w:val="20"/>
          <w:szCs w:val="20"/>
        </w:rPr>
        <w:t>Δ</w:t>
      </w:r>
      <w:r w:rsidR="00134591">
        <w:rPr>
          <w:rFonts w:ascii="Arial" w:hAnsi="Arial" w:cs="Arial"/>
          <w:sz w:val="20"/>
          <w:szCs w:val="20"/>
        </w:rPr>
        <w:t xml:space="preserve">. Εισαγωγές </w:t>
      </w:r>
      <w:r w:rsidR="00CA27F6">
        <w:rPr>
          <w:rFonts w:ascii="Arial" w:hAnsi="Arial" w:cs="Arial"/>
          <w:sz w:val="20"/>
          <w:szCs w:val="20"/>
        </w:rPr>
        <w:t xml:space="preserve">αργού </w:t>
      </w:r>
      <w:r w:rsidR="00134591">
        <w:rPr>
          <w:rFonts w:ascii="Arial" w:hAnsi="Arial" w:cs="Arial"/>
          <w:sz w:val="20"/>
          <w:szCs w:val="20"/>
        </w:rPr>
        <w:t xml:space="preserve">πετρελαίου </w:t>
      </w:r>
      <w:r w:rsidR="00CA27F6">
        <w:rPr>
          <w:rFonts w:ascii="Arial" w:hAnsi="Arial" w:cs="Arial"/>
          <w:sz w:val="20"/>
          <w:szCs w:val="20"/>
        </w:rPr>
        <w:t>και πετρελ</w:t>
      </w:r>
      <w:r w:rsidR="00673450">
        <w:rPr>
          <w:rFonts w:ascii="Arial" w:hAnsi="Arial" w:cs="Arial"/>
          <w:sz w:val="20"/>
          <w:szCs w:val="20"/>
        </w:rPr>
        <w:t>αϊκών</w:t>
      </w:r>
      <w:r w:rsidR="00CA27F6">
        <w:rPr>
          <w:rFonts w:ascii="Arial" w:hAnsi="Arial" w:cs="Arial"/>
          <w:sz w:val="20"/>
          <w:szCs w:val="20"/>
        </w:rPr>
        <w:t xml:space="preserve">. προϊόντων στις ΗΠΑ από την Βενεζουέλα </w:t>
      </w:r>
      <w:r w:rsidR="00336F89">
        <w:rPr>
          <w:rFonts w:ascii="Arial" w:hAnsi="Arial" w:cs="Arial"/>
          <w:sz w:val="20"/>
          <w:szCs w:val="20"/>
        </w:rPr>
        <w:br/>
      </w:r>
      <w:r>
        <w:rPr>
          <w:rFonts w:ascii="Arial" w:hAnsi="Arial" w:cs="Arial"/>
          <w:sz w:val="20"/>
          <w:szCs w:val="20"/>
        </w:rPr>
        <w:t>Ε</w:t>
      </w:r>
      <w:r w:rsidR="00067419">
        <w:rPr>
          <w:rFonts w:ascii="Arial" w:hAnsi="Arial" w:cs="Arial"/>
          <w:sz w:val="20"/>
          <w:szCs w:val="20"/>
        </w:rPr>
        <w:t>. Παγκόσμιες εξαγωγές</w:t>
      </w:r>
      <w:r w:rsidR="00D83D9C">
        <w:rPr>
          <w:rFonts w:ascii="Arial" w:hAnsi="Arial" w:cs="Arial"/>
          <w:sz w:val="20"/>
          <w:szCs w:val="20"/>
        </w:rPr>
        <w:t>-εισαγωγές</w:t>
      </w:r>
      <w:r w:rsidR="00067419">
        <w:rPr>
          <w:rFonts w:ascii="Arial" w:hAnsi="Arial" w:cs="Arial"/>
          <w:sz w:val="20"/>
          <w:szCs w:val="20"/>
        </w:rPr>
        <w:t xml:space="preserve"> πετρελαίου</w:t>
      </w:r>
      <w:r w:rsidR="00067419" w:rsidRPr="00067419">
        <w:rPr>
          <w:rFonts w:ascii="Arial" w:hAnsi="Arial" w:cs="Arial"/>
          <w:sz w:val="20"/>
          <w:szCs w:val="20"/>
        </w:rPr>
        <w:t xml:space="preserve"> </w:t>
      </w:r>
      <w:r w:rsidR="006A1EF4">
        <w:rPr>
          <w:rFonts w:ascii="Arial" w:hAnsi="Arial" w:cs="Arial"/>
          <w:sz w:val="20"/>
          <w:szCs w:val="20"/>
        </w:rPr>
        <w:t>(2024)</w:t>
      </w:r>
    </w:p>
    <w:p w14:paraId="27704DB4" w14:textId="77777777" w:rsidR="009F1619" w:rsidRDefault="009F1619">
      <w:pPr>
        <w:spacing w:after="200" w:line="276" w:lineRule="auto"/>
        <w:rPr>
          <w:rFonts w:ascii="Arial" w:hAnsi="Arial" w:cs="Arial"/>
          <w:b/>
          <w:sz w:val="20"/>
          <w:szCs w:val="20"/>
        </w:rPr>
      </w:pPr>
      <w:r>
        <w:rPr>
          <w:rFonts w:ascii="Arial" w:hAnsi="Arial" w:cs="Arial"/>
          <w:b/>
          <w:sz w:val="20"/>
          <w:szCs w:val="20"/>
        </w:rPr>
        <w:br w:type="page"/>
      </w:r>
    </w:p>
    <w:p w14:paraId="60943665" w14:textId="629FCC5F" w:rsidR="00673450" w:rsidRPr="008F3A20" w:rsidRDefault="00C853EF" w:rsidP="00D06DAC">
      <w:pPr>
        <w:spacing w:after="360"/>
        <w:ind w:hanging="360"/>
        <w:rPr>
          <w:rFonts w:ascii="Arial" w:hAnsi="Arial" w:cs="Arial"/>
          <w:b/>
          <w:sz w:val="20"/>
          <w:szCs w:val="20"/>
        </w:rPr>
      </w:pPr>
      <w:r w:rsidRPr="00C853EF">
        <w:rPr>
          <w:rFonts w:ascii="Arial" w:hAnsi="Arial" w:cs="Arial"/>
          <w:b/>
          <w:sz w:val="20"/>
          <w:szCs w:val="20"/>
        </w:rPr>
        <w:lastRenderedPageBreak/>
        <w:t xml:space="preserve">Α. </w:t>
      </w:r>
      <w:r w:rsidR="004F6BCD">
        <w:rPr>
          <w:rFonts w:ascii="Arial" w:hAnsi="Arial" w:cs="Arial"/>
          <w:b/>
          <w:sz w:val="20"/>
          <w:szCs w:val="20"/>
        </w:rPr>
        <w:tab/>
      </w:r>
      <w:r w:rsidRPr="00C853EF">
        <w:rPr>
          <w:rFonts w:ascii="Arial" w:hAnsi="Arial" w:cs="Arial"/>
          <w:b/>
          <w:sz w:val="20"/>
          <w:szCs w:val="20"/>
        </w:rPr>
        <w:t>Παρουσία πετρελαϊκών εταιρειών ΗΠΑ στην Βενεζουέλα</w:t>
      </w:r>
      <w:r w:rsidR="004F6BCD" w:rsidRPr="004F6BCD">
        <w:rPr>
          <w:rFonts w:ascii="Arial" w:hAnsi="Arial" w:cs="Arial"/>
          <w:b/>
          <w:sz w:val="20"/>
          <w:szCs w:val="20"/>
        </w:rPr>
        <w:t xml:space="preserve"> </w:t>
      </w:r>
      <w:r w:rsidR="004F6BCD">
        <w:rPr>
          <w:rFonts w:ascii="Arial" w:hAnsi="Arial" w:cs="Arial"/>
          <w:b/>
          <w:sz w:val="20"/>
          <w:szCs w:val="20"/>
        </w:rPr>
        <w:t xml:space="preserve">σε σχέση με την εξέλιξη του πετρελαϊκού τομέα </w:t>
      </w:r>
    </w:p>
    <w:p w14:paraId="57D60A64" w14:textId="3224E19B" w:rsidR="00F323E8" w:rsidRPr="00F10892" w:rsidRDefault="00F10892" w:rsidP="00F10892">
      <w:pPr>
        <w:spacing w:after="200" w:line="276" w:lineRule="auto"/>
        <w:jc w:val="both"/>
        <w:rPr>
          <w:rFonts w:ascii="Arial" w:hAnsi="Arial" w:cs="Arial"/>
          <w:sz w:val="20"/>
          <w:szCs w:val="20"/>
        </w:rPr>
      </w:pPr>
      <w:r w:rsidRPr="00F10892">
        <w:rPr>
          <w:rFonts w:ascii="Arial" w:hAnsi="Arial" w:cs="Arial"/>
          <w:sz w:val="20"/>
          <w:szCs w:val="20"/>
        </w:rPr>
        <w:t>Η θέση των πετρελαϊκών εταιρειών των ΗΠΑ στην Βενεζουέλα καθορίσθηκε από τις αποφάσεις της τελευταίας σε ό,τι αφορά θέματα εθνικοποίησης του κλάδου και του περιθωρίου δραστηριοποίησης ξένων εταιρειών.</w:t>
      </w:r>
      <w:r>
        <w:rPr>
          <w:rFonts w:ascii="Arial" w:hAnsi="Arial" w:cs="Arial"/>
          <w:sz w:val="20"/>
          <w:szCs w:val="20"/>
        </w:rPr>
        <w:t xml:space="preserve"> Συνοπτικά, ο πετρελαϊκός κλάδος εξελίχθηκε ως εξής</w:t>
      </w:r>
      <w:r w:rsidRPr="00F10892">
        <w:rPr>
          <w:rFonts w:ascii="Arial" w:hAnsi="Arial" w:cs="Arial"/>
          <w:sz w:val="20"/>
          <w:szCs w:val="20"/>
        </w:rPr>
        <w:t>:</w:t>
      </w:r>
    </w:p>
    <w:p w14:paraId="495971B9" w14:textId="6A228713" w:rsidR="00F323E8" w:rsidRPr="00F10892" w:rsidRDefault="00F10892" w:rsidP="00F10892">
      <w:pPr>
        <w:spacing w:after="120" w:line="276" w:lineRule="auto"/>
        <w:jc w:val="both"/>
        <w:rPr>
          <w:rFonts w:ascii="Arial" w:hAnsi="Arial" w:cs="Arial"/>
          <w:b/>
          <w:sz w:val="20"/>
          <w:szCs w:val="20"/>
        </w:rPr>
      </w:pPr>
      <w:r w:rsidRPr="00F10892">
        <w:rPr>
          <w:rFonts w:ascii="Arial" w:hAnsi="Arial" w:cs="Arial"/>
          <w:b/>
          <w:sz w:val="20"/>
          <w:szCs w:val="20"/>
        </w:rPr>
        <w:t>Δεκαετία 1990</w:t>
      </w:r>
      <w:r w:rsidRPr="008F3A20">
        <w:rPr>
          <w:rFonts w:ascii="Arial" w:hAnsi="Arial" w:cs="Arial"/>
          <w:b/>
          <w:sz w:val="20"/>
          <w:szCs w:val="20"/>
        </w:rPr>
        <w:t xml:space="preserve">: </w:t>
      </w:r>
      <w:r w:rsidR="00F323E8" w:rsidRPr="00F10892">
        <w:rPr>
          <w:rFonts w:ascii="Arial" w:hAnsi="Arial" w:cs="Arial"/>
          <w:b/>
          <w:sz w:val="20"/>
          <w:szCs w:val="20"/>
        </w:rPr>
        <w:t>"</w:t>
      </w:r>
      <w:proofErr w:type="spellStart"/>
      <w:r w:rsidR="00F323E8" w:rsidRPr="00F10892">
        <w:rPr>
          <w:rFonts w:ascii="Arial" w:hAnsi="Arial" w:cs="Arial"/>
          <w:b/>
          <w:sz w:val="20"/>
          <w:szCs w:val="20"/>
        </w:rPr>
        <w:t>Apertura</w:t>
      </w:r>
      <w:proofErr w:type="spellEnd"/>
      <w:r w:rsidR="00F323E8" w:rsidRPr="00F10892">
        <w:rPr>
          <w:rFonts w:ascii="Arial" w:hAnsi="Arial" w:cs="Arial"/>
          <w:b/>
          <w:sz w:val="20"/>
          <w:szCs w:val="20"/>
        </w:rPr>
        <w:t xml:space="preserve"> </w:t>
      </w:r>
      <w:proofErr w:type="spellStart"/>
      <w:r w:rsidR="00F323E8" w:rsidRPr="00F10892">
        <w:rPr>
          <w:rFonts w:ascii="Arial" w:hAnsi="Arial" w:cs="Arial"/>
          <w:b/>
          <w:sz w:val="20"/>
          <w:szCs w:val="20"/>
        </w:rPr>
        <w:t>Petrolera</w:t>
      </w:r>
      <w:proofErr w:type="spellEnd"/>
      <w:r w:rsidR="00F323E8" w:rsidRPr="00F10892">
        <w:rPr>
          <w:rFonts w:ascii="Arial" w:hAnsi="Arial" w:cs="Arial"/>
          <w:b/>
          <w:sz w:val="20"/>
          <w:szCs w:val="20"/>
        </w:rPr>
        <w:t>"</w:t>
      </w:r>
    </w:p>
    <w:p w14:paraId="1E9C3B01" w14:textId="7A78024A" w:rsidR="00F323E8" w:rsidRPr="00F10892" w:rsidRDefault="002531A5" w:rsidP="00F10892">
      <w:pPr>
        <w:spacing w:after="200" w:line="276" w:lineRule="auto"/>
        <w:ind w:left="180"/>
        <w:jc w:val="both"/>
        <w:rPr>
          <w:rFonts w:ascii="Arial" w:hAnsi="Arial" w:cs="Arial"/>
          <w:sz w:val="20"/>
          <w:szCs w:val="20"/>
        </w:rPr>
      </w:pPr>
      <w:r>
        <w:rPr>
          <w:rFonts w:ascii="Arial" w:hAnsi="Arial" w:cs="Arial"/>
          <w:sz w:val="20"/>
          <w:szCs w:val="20"/>
        </w:rPr>
        <w:t>Η</w:t>
      </w:r>
      <w:r w:rsidR="00F323E8" w:rsidRPr="00F10892">
        <w:rPr>
          <w:rFonts w:ascii="Arial" w:hAnsi="Arial" w:cs="Arial"/>
          <w:sz w:val="20"/>
          <w:szCs w:val="20"/>
        </w:rPr>
        <w:t xml:space="preserve"> Βενεζουέλα άνοιξε τον πετρελαϊκό της τομέα σε ξένες επενδύσεις για την ανάπτυξη της ζώνης </w:t>
      </w:r>
      <w:proofErr w:type="spellStart"/>
      <w:r w:rsidR="00F323E8" w:rsidRPr="00F10892">
        <w:rPr>
          <w:rFonts w:ascii="Arial" w:hAnsi="Arial" w:cs="Arial"/>
          <w:sz w:val="20"/>
          <w:szCs w:val="20"/>
        </w:rPr>
        <w:t>Orinoco</w:t>
      </w:r>
      <w:proofErr w:type="spellEnd"/>
      <w:r w:rsidR="00F323E8" w:rsidRPr="00F10892">
        <w:rPr>
          <w:rFonts w:ascii="Arial" w:hAnsi="Arial" w:cs="Arial"/>
          <w:sz w:val="20"/>
          <w:szCs w:val="20"/>
        </w:rPr>
        <w:t>.</w:t>
      </w:r>
      <w:r w:rsidR="00F10892" w:rsidRPr="00F10892">
        <w:rPr>
          <w:rFonts w:ascii="Arial" w:hAnsi="Arial" w:cs="Arial"/>
          <w:sz w:val="20"/>
          <w:szCs w:val="20"/>
        </w:rPr>
        <w:t xml:space="preserve"> </w:t>
      </w:r>
      <w:r w:rsidR="00F323E8" w:rsidRPr="00F10892">
        <w:rPr>
          <w:rFonts w:ascii="Arial" w:hAnsi="Arial" w:cs="Arial"/>
          <w:sz w:val="20"/>
          <w:szCs w:val="20"/>
        </w:rPr>
        <w:t>Μεγάλες εταιρείες</w:t>
      </w:r>
      <w:r w:rsidR="00F10892" w:rsidRPr="00F10892">
        <w:rPr>
          <w:rFonts w:ascii="Arial" w:hAnsi="Arial" w:cs="Arial"/>
          <w:sz w:val="20"/>
          <w:szCs w:val="20"/>
        </w:rPr>
        <w:t>,</w:t>
      </w:r>
      <w:r w:rsidR="00F323E8" w:rsidRPr="00F10892">
        <w:rPr>
          <w:rFonts w:ascii="Arial" w:hAnsi="Arial" w:cs="Arial"/>
          <w:sz w:val="20"/>
          <w:szCs w:val="20"/>
        </w:rPr>
        <w:t xml:space="preserve"> όπως η </w:t>
      </w:r>
      <w:proofErr w:type="spellStart"/>
      <w:r w:rsidR="00F323E8" w:rsidRPr="00F10892">
        <w:rPr>
          <w:rFonts w:ascii="Arial" w:hAnsi="Arial" w:cs="Arial"/>
          <w:b/>
          <w:sz w:val="20"/>
          <w:szCs w:val="20"/>
        </w:rPr>
        <w:t>ExxonMobil</w:t>
      </w:r>
      <w:proofErr w:type="spellEnd"/>
      <w:r w:rsidR="00F323E8" w:rsidRPr="00F10892">
        <w:rPr>
          <w:rFonts w:ascii="Arial" w:hAnsi="Arial" w:cs="Arial"/>
          <w:sz w:val="20"/>
          <w:szCs w:val="20"/>
        </w:rPr>
        <w:t xml:space="preserve">, η </w:t>
      </w:r>
      <w:proofErr w:type="spellStart"/>
      <w:r w:rsidR="00F323E8" w:rsidRPr="00F10892">
        <w:rPr>
          <w:rFonts w:ascii="Arial" w:hAnsi="Arial" w:cs="Arial"/>
          <w:b/>
          <w:sz w:val="20"/>
          <w:szCs w:val="20"/>
        </w:rPr>
        <w:t>ConocoPhillips</w:t>
      </w:r>
      <w:proofErr w:type="spellEnd"/>
      <w:r w:rsidR="00F323E8" w:rsidRPr="00F10892">
        <w:rPr>
          <w:rFonts w:ascii="Arial" w:hAnsi="Arial" w:cs="Arial"/>
          <w:sz w:val="20"/>
          <w:szCs w:val="20"/>
        </w:rPr>
        <w:t xml:space="preserve"> και η </w:t>
      </w:r>
      <w:proofErr w:type="spellStart"/>
      <w:r w:rsidR="00F323E8" w:rsidRPr="00F10892">
        <w:rPr>
          <w:rFonts w:ascii="Arial" w:hAnsi="Arial" w:cs="Arial"/>
          <w:b/>
          <w:sz w:val="20"/>
          <w:szCs w:val="20"/>
        </w:rPr>
        <w:t>Chevron</w:t>
      </w:r>
      <w:proofErr w:type="spellEnd"/>
      <w:r w:rsidR="00F323E8" w:rsidRPr="00F10892">
        <w:rPr>
          <w:rFonts w:ascii="Arial" w:hAnsi="Arial" w:cs="Arial"/>
          <w:sz w:val="20"/>
          <w:szCs w:val="20"/>
        </w:rPr>
        <w:t xml:space="preserve"> επένδυσαν δισεκατομμύρια </w:t>
      </w:r>
      <w:r w:rsidR="00F10892" w:rsidRPr="00F10892">
        <w:rPr>
          <w:rFonts w:ascii="Arial" w:hAnsi="Arial" w:cs="Arial"/>
          <w:sz w:val="20"/>
          <w:szCs w:val="20"/>
        </w:rPr>
        <w:t xml:space="preserve">δολλάρια </w:t>
      </w:r>
      <w:r w:rsidR="00F323E8" w:rsidRPr="00F10892">
        <w:rPr>
          <w:rFonts w:ascii="Arial" w:hAnsi="Arial" w:cs="Arial"/>
          <w:sz w:val="20"/>
          <w:szCs w:val="20"/>
        </w:rPr>
        <w:t>για την κατασκευή</w:t>
      </w:r>
      <w:r w:rsidR="00F10892" w:rsidRPr="00F10892">
        <w:rPr>
          <w:rFonts w:ascii="Arial" w:hAnsi="Arial" w:cs="Arial"/>
          <w:sz w:val="20"/>
          <w:szCs w:val="20"/>
        </w:rPr>
        <w:t xml:space="preserve"> εγκαταστάσεων που </w:t>
      </w:r>
      <w:r w:rsidR="00F323E8" w:rsidRPr="00F10892">
        <w:rPr>
          <w:rFonts w:ascii="Arial" w:hAnsi="Arial" w:cs="Arial"/>
          <w:sz w:val="20"/>
          <w:szCs w:val="20"/>
        </w:rPr>
        <w:t xml:space="preserve">μετατρέπουν το εξαιρετικά βαρύ αργό πετρέλαιο </w:t>
      </w:r>
      <w:r w:rsidR="00F10892" w:rsidRPr="00F10892">
        <w:rPr>
          <w:rFonts w:ascii="Arial" w:hAnsi="Arial" w:cs="Arial"/>
          <w:sz w:val="20"/>
          <w:szCs w:val="20"/>
        </w:rPr>
        <w:t xml:space="preserve">της Βενεζουέλας </w:t>
      </w:r>
      <w:r w:rsidR="00F323E8" w:rsidRPr="00F10892">
        <w:rPr>
          <w:rFonts w:ascii="Arial" w:hAnsi="Arial" w:cs="Arial"/>
          <w:sz w:val="20"/>
          <w:szCs w:val="20"/>
        </w:rPr>
        <w:t>σε εξαγώγιμο πετρέλαιο.</w:t>
      </w:r>
      <w:r w:rsidR="00F10892" w:rsidRPr="00F10892">
        <w:rPr>
          <w:rFonts w:ascii="Arial" w:hAnsi="Arial" w:cs="Arial"/>
          <w:sz w:val="20"/>
          <w:szCs w:val="20"/>
        </w:rPr>
        <w:t xml:space="preserve"> </w:t>
      </w:r>
      <w:r w:rsidR="00F323E8" w:rsidRPr="00F10892">
        <w:rPr>
          <w:rFonts w:ascii="Arial" w:hAnsi="Arial" w:cs="Arial"/>
          <w:sz w:val="20"/>
          <w:szCs w:val="20"/>
        </w:rPr>
        <w:t>Αυτές οι εταιρείες λειτουργούσαν βάσει ευέλικτων συμφωνιών κατανομής κερδών και χαμηλότερων συντελεστών δικαιωμάτων.</w:t>
      </w:r>
    </w:p>
    <w:p w14:paraId="6A905D38" w14:textId="78515DAF" w:rsidR="00F323E8" w:rsidRPr="00F10892" w:rsidRDefault="00F10892" w:rsidP="00F10892">
      <w:pPr>
        <w:spacing w:after="120"/>
        <w:jc w:val="both"/>
        <w:rPr>
          <w:rFonts w:ascii="Arial" w:hAnsi="Arial" w:cs="Arial"/>
          <w:b/>
          <w:sz w:val="20"/>
          <w:szCs w:val="20"/>
        </w:rPr>
      </w:pPr>
      <w:r w:rsidRPr="00F10892">
        <w:rPr>
          <w:rFonts w:ascii="Arial" w:hAnsi="Arial" w:cs="Arial"/>
          <w:b/>
          <w:sz w:val="20"/>
          <w:szCs w:val="20"/>
        </w:rPr>
        <w:t xml:space="preserve">2007: </w:t>
      </w:r>
      <w:r w:rsidR="00F323E8" w:rsidRPr="00F10892">
        <w:rPr>
          <w:rFonts w:ascii="Arial" w:hAnsi="Arial" w:cs="Arial"/>
          <w:b/>
          <w:sz w:val="20"/>
          <w:szCs w:val="20"/>
        </w:rPr>
        <w:t>Εθνικοποίηση</w:t>
      </w:r>
    </w:p>
    <w:p w14:paraId="3F550E9A" w14:textId="45920EE1" w:rsidR="00F323E8" w:rsidRPr="00F10892" w:rsidRDefault="00F10892" w:rsidP="00F10892">
      <w:pPr>
        <w:spacing w:after="120"/>
        <w:ind w:left="180"/>
        <w:jc w:val="both"/>
        <w:rPr>
          <w:rFonts w:ascii="Arial" w:hAnsi="Arial" w:cs="Arial"/>
          <w:sz w:val="20"/>
          <w:szCs w:val="20"/>
        </w:rPr>
      </w:pPr>
      <w:r>
        <w:rPr>
          <w:rFonts w:ascii="Arial" w:hAnsi="Arial" w:cs="Arial"/>
          <w:sz w:val="20"/>
          <w:szCs w:val="20"/>
        </w:rPr>
        <w:t>Επί κυβέρνησης</w:t>
      </w:r>
      <w:r w:rsidR="00F323E8" w:rsidRPr="00F10892">
        <w:rPr>
          <w:rFonts w:ascii="Arial" w:hAnsi="Arial" w:cs="Arial"/>
          <w:sz w:val="20"/>
          <w:szCs w:val="20"/>
        </w:rPr>
        <w:t xml:space="preserve"> </w:t>
      </w:r>
      <w:proofErr w:type="spellStart"/>
      <w:r w:rsidR="00F323E8" w:rsidRPr="00F10892">
        <w:rPr>
          <w:rFonts w:ascii="Arial" w:hAnsi="Arial" w:cs="Arial"/>
          <w:sz w:val="20"/>
          <w:szCs w:val="20"/>
        </w:rPr>
        <w:t>Hugo</w:t>
      </w:r>
      <w:proofErr w:type="spellEnd"/>
      <w:r w:rsidR="00F323E8" w:rsidRPr="00F10892">
        <w:rPr>
          <w:rFonts w:ascii="Arial" w:hAnsi="Arial" w:cs="Arial"/>
          <w:sz w:val="20"/>
          <w:szCs w:val="20"/>
        </w:rPr>
        <w:t xml:space="preserve"> </w:t>
      </w:r>
      <w:proofErr w:type="spellStart"/>
      <w:r w:rsidR="00F323E8" w:rsidRPr="00F10892">
        <w:rPr>
          <w:rFonts w:ascii="Arial" w:hAnsi="Arial" w:cs="Arial"/>
          <w:sz w:val="20"/>
          <w:szCs w:val="20"/>
        </w:rPr>
        <w:t>Chávez</w:t>
      </w:r>
      <w:proofErr w:type="spellEnd"/>
      <w:r>
        <w:rPr>
          <w:rFonts w:ascii="Arial" w:hAnsi="Arial" w:cs="Arial"/>
          <w:sz w:val="20"/>
          <w:szCs w:val="20"/>
        </w:rPr>
        <w:t xml:space="preserve">, εκδόθηκε </w:t>
      </w:r>
      <w:r w:rsidR="00F323E8" w:rsidRPr="00F10892">
        <w:rPr>
          <w:rFonts w:ascii="Arial" w:hAnsi="Arial" w:cs="Arial"/>
          <w:sz w:val="20"/>
          <w:szCs w:val="20"/>
        </w:rPr>
        <w:t xml:space="preserve">διάταγμα που </w:t>
      </w:r>
      <w:r>
        <w:rPr>
          <w:rFonts w:ascii="Arial" w:hAnsi="Arial" w:cs="Arial"/>
          <w:sz w:val="20"/>
          <w:szCs w:val="20"/>
        </w:rPr>
        <w:t xml:space="preserve">επέβαλε </w:t>
      </w:r>
      <w:r w:rsidR="00F323E8" w:rsidRPr="00F10892">
        <w:rPr>
          <w:rFonts w:ascii="Arial" w:hAnsi="Arial" w:cs="Arial"/>
          <w:sz w:val="20"/>
          <w:szCs w:val="20"/>
        </w:rPr>
        <w:t>τη</w:t>
      </w:r>
      <w:r>
        <w:rPr>
          <w:rFonts w:ascii="Arial" w:hAnsi="Arial" w:cs="Arial"/>
          <w:sz w:val="20"/>
          <w:szCs w:val="20"/>
        </w:rPr>
        <w:t>ν</w:t>
      </w:r>
      <w:r w:rsidR="00F323E8" w:rsidRPr="00F10892">
        <w:rPr>
          <w:rFonts w:ascii="Arial" w:hAnsi="Arial" w:cs="Arial"/>
          <w:sz w:val="20"/>
          <w:szCs w:val="20"/>
        </w:rPr>
        <w:t xml:space="preserve"> μετατροπή όλων των ξένων πετρελαϊκών έργων σε κοινοπραξίες</w:t>
      </w:r>
      <w:r>
        <w:rPr>
          <w:rFonts w:ascii="Arial" w:hAnsi="Arial" w:cs="Arial"/>
          <w:sz w:val="20"/>
          <w:szCs w:val="20"/>
        </w:rPr>
        <w:t xml:space="preserve">. Σε αυτές, η </w:t>
      </w:r>
      <w:r w:rsidR="00F323E8" w:rsidRPr="00F10892">
        <w:rPr>
          <w:rFonts w:ascii="Arial" w:hAnsi="Arial" w:cs="Arial"/>
          <w:sz w:val="20"/>
          <w:szCs w:val="20"/>
        </w:rPr>
        <w:t xml:space="preserve">κρατική PDVSA </w:t>
      </w:r>
      <w:r>
        <w:rPr>
          <w:rFonts w:ascii="Arial" w:hAnsi="Arial" w:cs="Arial"/>
          <w:sz w:val="20"/>
          <w:szCs w:val="20"/>
        </w:rPr>
        <w:t xml:space="preserve"> - </w:t>
      </w:r>
      <w:proofErr w:type="spellStart"/>
      <w:r>
        <w:rPr>
          <w:rFonts w:ascii="Roboto" w:hAnsi="Roboto"/>
          <w:color w:val="1F1F1F"/>
          <w:sz w:val="21"/>
          <w:szCs w:val="21"/>
          <w:shd w:val="clear" w:color="auto" w:fill="FFFFFF"/>
        </w:rPr>
        <w:t>Petróleos</w:t>
      </w:r>
      <w:proofErr w:type="spellEnd"/>
      <w:r>
        <w:rPr>
          <w:rFonts w:ascii="Roboto" w:hAnsi="Roboto"/>
          <w:color w:val="1F1F1F"/>
          <w:sz w:val="21"/>
          <w:szCs w:val="21"/>
          <w:shd w:val="clear" w:color="auto" w:fill="FFFFFF"/>
        </w:rPr>
        <w:t xml:space="preserve"> de </w:t>
      </w:r>
      <w:proofErr w:type="spellStart"/>
      <w:r>
        <w:rPr>
          <w:rFonts w:ascii="Roboto" w:hAnsi="Roboto"/>
          <w:color w:val="1F1F1F"/>
          <w:sz w:val="21"/>
          <w:szCs w:val="21"/>
          <w:shd w:val="clear" w:color="auto" w:fill="FFFFFF"/>
        </w:rPr>
        <w:t>Venezuela</w:t>
      </w:r>
      <w:proofErr w:type="spellEnd"/>
      <w:r>
        <w:rPr>
          <w:rFonts w:ascii="Roboto" w:hAnsi="Roboto"/>
          <w:color w:val="1F1F1F"/>
          <w:sz w:val="21"/>
          <w:szCs w:val="21"/>
          <w:shd w:val="clear" w:color="auto" w:fill="FFFFFF"/>
        </w:rPr>
        <w:t>, S.A.</w:t>
      </w:r>
      <w:r w:rsidRPr="00F10892">
        <w:rPr>
          <w:rFonts w:ascii="Arial" w:hAnsi="Arial" w:cs="Arial"/>
          <w:sz w:val="20"/>
          <w:szCs w:val="20"/>
        </w:rPr>
        <w:t xml:space="preserve"> </w:t>
      </w:r>
      <w:r w:rsidR="00F323E8" w:rsidRPr="00F10892">
        <w:rPr>
          <w:rFonts w:ascii="Arial" w:hAnsi="Arial" w:cs="Arial"/>
          <w:sz w:val="20"/>
          <w:szCs w:val="20"/>
        </w:rPr>
        <w:t>κατείχε τουλάχιστον 60% των μετοχών</w:t>
      </w:r>
      <w:r>
        <w:rPr>
          <w:rFonts w:ascii="Arial" w:hAnsi="Arial" w:cs="Arial"/>
          <w:sz w:val="20"/>
          <w:szCs w:val="20"/>
        </w:rPr>
        <w:t>.</w:t>
      </w:r>
    </w:p>
    <w:p w14:paraId="3D1DFAF1" w14:textId="7BCC400D" w:rsidR="00F323E8" w:rsidRDefault="00F323E8" w:rsidP="00F10892">
      <w:pPr>
        <w:spacing w:after="200" w:line="276" w:lineRule="auto"/>
        <w:ind w:left="180"/>
        <w:jc w:val="both"/>
        <w:rPr>
          <w:rFonts w:ascii="Arial" w:hAnsi="Arial" w:cs="Arial"/>
          <w:sz w:val="20"/>
          <w:szCs w:val="20"/>
        </w:rPr>
      </w:pPr>
      <w:r w:rsidRPr="00F10892">
        <w:rPr>
          <w:rFonts w:ascii="Arial" w:hAnsi="Arial" w:cs="Arial"/>
          <w:sz w:val="20"/>
          <w:szCs w:val="20"/>
        </w:rPr>
        <w:t xml:space="preserve">Η </w:t>
      </w:r>
      <w:proofErr w:type="spellStart"/>
      <w:r w:rsidRPr="00F10892">
        <w:rPr>
          <w:rFonts w:ascii="Arial" w:hAnsi="Arial" w:cs="Arial"/>
          <w:sz w:val="20"/>
          <w:szCs w:val="20"/>
        </w:rPr>
        <w:t>Chevron</w:t>
      </w:r>
      <w:proofErr w:type="spellEnd"/>
      <w:r w:rsidR="00F10892">
        <w:rPr>
          <w:rFonts w:ascii="Arial" w:hAnsi="Arial" w:cs="Arial"/>
          <w:sz w:val="20"/>
          <w:szCs w:val="20"/>
        </w:rPr>
        <w:t xml:space="preserve"> α</w:t>
      </w:r>
      <w:r w:rsidRPr="00F10892">
        <w:rPr>
          <w:rFonts w:ascii="Arial" w:hAnsi="Arial" w:cs="Arial"/>
          <w:sz w:val="20"/>
          <w:szCs w:val="20"/>
        </w:rPr>
        <w:t>ποδέχ</w:t>
      </w:r>
      <w:r w:rsidR="002531A5">
        <w:rPr>
          <w:rFonts w:ascii="Arial" w:hAnsi="Arial" w:cs="Arial"/>
          <w:sz w:val="20"/>
          <w:szCs w:val="20"/>
        </w:rPr>
        <w:t>θ</w:t>
      </w:r>
      <w:r w:rsidRPr="00F10892">
        <w:rPr>
          <w:rFonts w:ascii="Arial" w:hAnsi="Arial" w:cs="Arial"/>
          <w:sz w:val="20"/>
          <w:szCs w:val="20"/>
        </w:rPr>
        <w:t>ηκε τους νέους, λιγότερο ευνοϊκούς</w:t>
      </w:r>
      <w:r w:rsidR="002531A5">
        <w:rPr>
          <w:rFonts w:ascii="Arial" w:hAnsi="Arial" w:cs="Arial"/>
          <w:sz w:val="20"/>
          <w:szCs w:val="20"/>
        </w:rPr>
        <w:t>,</w:t>
      </w:r>
      <w:r w:rsidRPr="00F10892">
        <w:rPr>
          <w:rFonts w:ascii="Arial" w:hAnsi="Arial" w:cs="Arial"/>
          <w:sz w:val="20"/>
          <w:szCs w:val="20"/>
        </w:rPr>
        <w:t xml:space="preserve"> όρους και παρέμεινε στη χώρα ως μειοψηφικός εταίρος. </w:t>
      </w:r>
      <w:r w:rsidR="00F10892">
        <w:rPr>
          <w:rFonts w:ascii="Arial" w:hAnsi="Arial" w:cs="Arial"/>
          <w:sz w:val="20"/>
          <w:szCs w:val="20"/>
        </w:rPr>
        <w:t xml:space="preserve">Οι </w:t>
      </w:r>
      <w:proofErr w:type="spellStart"/>
      <w:r w:rsidRPr="00F10892">
        <w:rPr>
          <w:rFonts w:ascii="Arial" w:hAnsi="Arial" w:cs="Arial"/>
          <w:sz w:val="20"/>
          <w:szCs w:val="20"/>
        </w:rPr>
        <w:t>ExxonMobil</w:t>
      </w:r>
      <w:proofErr w:type="spellEnd"/>
      <w:r w:rsidRPr="00F10892">
        <w:rPr>
          <w:rFonts w:ascii="Arial" w:hAnsi="Arial" w:cs="Arial"/>
          <w:sz w:val="20"/>
          <w:szCs w:val="20"/>
        </w:rPr>
        <w:t xml:space="preserve"> και </w:t>
      </w:r>
      <w:proofErr w:type="spellStart"/>
      <w:r w:rsidRPr="00F10892">
        <w:rPr>
          <w:rFonts w:ascii="Arial" w:hAnsi="Arial" w:cs="Arial"/>
          <w:sz w:val="20"/>
          <w:szCs w:val="20"/>
        </w:rPr>
        <w:t>ConocoPhillips</w:t>
      </w:r>
      <w:proofErr w:type="spellEnd"/>
      <w:r w:rsidR="00F10892">
        <w:rPr>
          <w:rFonts w:ascii="Arial" w:hAnsi="Arial" w:cs="Arial"/>
          <w:sz w:val="20"/>
          <w:szCs w:val="20"/>
        </w:rPr>
        <w:t xml:space="preserve"> α</w:t>
      </w:r>
      <w:r w:rsidRPr="00F10892">
        <w:rPr>
          <w:rFonts w:ascii="Arial" w:hAnsi="Arial" w:cs="Arial"/>
          <w:sz w:val="20"/>
          <w:szCs w:val="20"/>
        </w:rPr>
        <w:t>ρνήθηκαν να υπογράψουν τις νέες συμβάσεις</w:t>
      </w:r>
      <w:r w:rsidR="00F10892">
        <w:rPr>
          <w:rFonts w:ascii="Arial" w:hAnsi="Arial" w:cs="Arial"/>
          <w:sz w:val="20"/>
          <w:szCs w:val="20"/>
        </w:rPr>
        <w:t xml:space="preserve"> και</w:t>
      </w:r>
      <w:r w:rsidRPr="00F10892">
        <w:rPr>
          <w:rFonts w:ascii="Arial" w:hAnsi="Arial" w:cs="Arial"/>
          <w:sz w:val="20"/>
          <w:szCs w:val="20"/>
        </w:rPr>
        <w:t xml:space="preserve"> η κυβέρνηση της Βενεζουέλας </w:t>
      </w:r>
      <w:proofErr w:type="spellStart"/>
      <w:r w:rsidRPr="00F10892">
        <w:rPr>
          <w:rFonts w:ascii="Arial" w:hAnsi="Arial" w:cs="Arial"/>
          <w:sz w:val="20"/>
          <w:szCs w:val="20"/>
        </w:rPr>
        <w:t>κατ</w:t>
      </w:r>
      <w:r w:rsidR="00F10892">
        <w:rPr>
          <w:rFonts w:ascii="Arial" w:hAnsi="Arial" w:cs="Arial"/>
          <w:sz w:val="20"/>
          <w:szCs w:val="20"/>
        </w:rPr>
        <w:t>έ</w:t>
      </w:r>
      <w:r w:rsidRPr="00F10892">
        <w:rPr>
          <w:rFonts w:ascii="Arial" w:hAnsi="Arial" w:cs="Arial"/>
          <w:sz w:val="20"/>
          <w:szCs w:val="20"/>
        </w:rPr>
        <w:t>σχεσε</w:t>
      </w:r>
      <w:proofErr w:type="spellEnd"/>
      <w:r w:rsidRPr="00F10892">
        <w:rPr>
          <w:rFonts w:ascii="Arial" w:hAnsi="Arial" w:cs="Arial"/>
          <w:sz w:val="20"/>
          <w:szCs w:val="20"/>
        </w:rPr>
        <w:t xml:space="preserve"> τα περιουσιακά στοιχεία </w:t>
      </w:r>
      <w:r w:rsidR="00F10892">
        <w:rPr>
          <w:rFonts w:ascii="Arial" w:hAnsi="Arial" w:cs="Arial"/>
          <w:sz w:val="20"/>
          <w:szCs w:val="20"/>
        </w:rPr>
        <w:t xml:space="preserve">τους </w:t>
      </w:r>
      <w:r w:rsidRPr="00F10892">
        <w:rPr>
          <w:rFonts w:ascii="Arial" w:hAnsi="Arial" w:cs="Arial"/>
          <w:sz w:val="20"/>
          <w:szCs w:val="20"/>
        </w:rPr>
        <w:t>χωρίς άμεση αποζημίωση, αναγκάζοντας και τις δύο εταιρείες να εγκαταλείψουν τη</w:t>
      </w:r>
      <w:r w:rsidR="00F10892">
        <w:rPr>
          <w:rFonts w:ascii="Arial" w:hAnsi="Arial" w:cs="Arial"/>
          <w:sz w:val="20"/>
          <w:szCs w:val="20"/>
        </w:rPr>
        <w:t>ν</w:t>
      </w:r>
      <w:r w:rsidRPr="00F10892">
        <w:rPr>
          <w:rFonts w:ascii="Arial" w:hAnsi="Arial" w:cs="Arial"/>
          <w:sz w:val="20"/>
          <w:szCs w:val="20"/>
        </w:rPr>
        <w:t xml:space="preserve"> χώρα.</w:t>
      </w:r>
    </w:p>
    <w:p w14:paraId="4AF4F3C5" w14:textId="18063665" w:rsidR="00C43544" w:rsidRPr="00D06DAC" w:rsidRDefault="00D06DAC" w:rsidP="00D06DAC">
      <w:pPr>
        <w:spacing w:afterLines="60" w:after="144"/>
        <w:jc w:val="both"/>
        <w:rPr>
          <w:rFonts w:ascii="Arial" w:hAnsi="Arial" w:cs="Arial"/>
          <w:b/>
          <w:sz w:val="20"/>
          <w:szCs w:val="20"/>
        </w:rPr>
      </w:pPr>
      <w:r w:rsidRPr="00D06DAC">
        <w:rPr>
          <w:rFonts w:ascii="Arial" w:hAnsi="Arial" w:cs="Arial"/>
          <w:b/>
          <w:sz w:val="20"/>
          <w:szCs w:val="20"/>
        </w:rPr>
        <w:t>2017-2025</w:t>
      </w:r>
      <w:r w:rsidR="00C43544" w:rsidRPr="00F10892">
        <w:rPr>
          <w:rFonts w:ascii="Arial" w:hAnsi="Arial" w:cs="Arial"/>
          <w:b/>
          <w:sz w:val="20"/>
          <w:szCs w:val="20"/>
        </w:rPr>
        <w:t xml:space="preserve">: </w:t>
      </w:r>
      <w:r w:rsidR="002531A5">
        <w:rPr>
          <w:rFonts w:ascii="Arial" w:hAnsi="Arial" w:cs="Arial"/>
          <w:b/>
          <w:sz w:val="20"/>
          <w:szCs w:val="20"/>
        </w:rPr>
        <w:t>Μέτρα σταδιακής ε</w:t>
      </w:r>
      <w:r>
        <w:rPr>
          <w:rFonts w:ascii="Arial" w:hAnsi="Arial" w:cs="Arial"/>
          <w:b/>
          <w:sz w:val="20"/>
          <w:szCs w:val="20"/>
        </w:rPr>
        <w:t>πιβολή</w:t>
      </w:r>
      <w:r w:rsidR="002531A5">
        <w:rPr>
          <w:rFonts w:ascii="Arial" w:hAnsi="Arial" w:cs="Arial"/>
          <w:b/>
          <w:sz w:val="20"/>
          <w:szCs w:val="20"/>
        </w:rPr>
        <w:t>ς</w:t>
      </w:r>
      <w:r>
        <w:rPr>
          <w:rFonts w:ascii="Arial" w:hAnsi="Arial" w:cs="Arial"/>
          <w:b/>
          <w:sz w:val="20"/>
          <w:szCs w:val="20"/>
        </w:rPr>
        <w:t xml:space="preserve"> εμπάργκο πετρελαίου από την κυβέρνηση των ΗΠΑ</w:t>
      </w:r>
    </w:p>
    <w:p w14:paraId="12DE2334" w14:textId="764FB7A5" w:rsidR="00D06DAC" w:rsidRDefault="00D06DAC" w:rsidP="002531A5">
      <w:pPr>
        <w:spacing w:afterLines="60" w:after="144"/>
        <w:ind w:left="360" w:hanging="180"/>
        <w:jc w:val="both"/>
        <w:rPr>
          <w:rFonts w:ascii="Arial" w:hAnsi="Arial" w:cs="Arial"/>
          <w:sz w:val="20"/>
          <w:szCs w:val="20"/>
        </w:rPr>
      </w:pPr>
      <w:r w:rsidRPr="00D06DAC">
        <w:rPr>
          <w:rFonts w:ascii="Arial" w:hAnsi="Arial" w:cs="Arial"/>
          <w:sz w:val="20"/>
          <w:szCs w:val="20"/>
        </w:rPr>
        <w:t xml:space="preserve">• </w:t>
      </w:r>
      <w:r>
        <w:rPr>
          <w:rFonts w:ascii="Arial" w:hAnsi="Arial" w:cs="Arial"/>
          <w:sz w:val="20"/>
          <w:szCs w:val="20"/>
        </w:rPr>
        <w:t>2017</w:t>
      </w:r>
      <w:r w:rsidRPr="00D06DAC">
        <w:rPr>
          <w:rFonts w:ascii="Arial" w:hAnsi="Arial" w:cs="Arial"/>
          <w:sz w:val="20"/>
          <w:szCs w:val="20"/>
        </w:rPr>
        <w:t xml:space="preserve">: </w:t>
      </w:r>
      <w:r>
        <w:rPr>
          <w:rFonts w:ascii="Arial" w:hAnsi="Arial" w:cs="Arial"/>
          <w:sz w:val="20"/>
          <w:szCs w:val="20"/>
        </w:rPr>
        <w:t xml:space="preserve">Απαγόρευση πρόσβασης της κρατικής </w:t>
      </w:r>
      <w:r w:rsidRPr="00D06DAC">
        <w:rPr>
          <w:rFonts w:ascii="Arial" w:hAnsi="Arial" w:cs="Arial"/>
          <w:sz w:val="20"/>
          <w:szCs w:val="20"/>
        </w:rPr>
        <w:t xml:space="preserve">PDVSA </w:t>
      </w:r>
      <w:r>
        <w:rPr>
          <w:rFonts w:ascii="Arial" w:hAnsi="Arial" w:cs="Arial"/>
          <w:sz w:val="20"/>
          <w:szCs w:val="20"/>
        </w:rPr>
        <w:t>στο χρηματοπιστωτικό σύστημα των ΗΠΑ</w:t>
      </w:r>
    </w:p>
    <w:p w14:paraId="6D0E4A3C" w14:textId="409C20D4" w:rsidR="00D06DAC" w:rsidRPr="00D06DAC" w:rsidRDefault="00D06DAC" w:rsidP="002531A5">
      <w:pPr>
        <w:spacing w:afterLines="60" w:after="144"/>
        <w:ind w:left="360" w:hanging="180"/>
        <w:jc w:val="both"/>
        <w:rPr>
          <w:rFonts w:ascii="Arial" w:hAnsi="Arial" w:cs="Arial"/>
          <w:sz w:val="20"/>
          <w:szCs w:val="20"/>
        </w:rPr>
      </w:pPr>
      <w:r w:rsidRPr="00D06DAC">
        <w:rPr>
          <w:rFonts w:ascii="Arial" w:hAnsi="Arial" w:cs="Arial"/>
          <w:sz w:val="20"/>
          <w:szCs w:val="20"/>
        </w:rPr>
        <w:t xml:space="preserve">• 28 Ιανουαρίου 2019: </w:t>
      </w:r>
      <w:r>
        <w:rPr>
          <w:rFonts w:ascii="Arial" w:hAnsi="Arial" w:cs="Arial"/>
          <w:sz w:val="20"/>
          <w:szCs w:val="20"/>
        </w:rPr>
        <w:t>επιβολή κυρώσεων σ</w:t>
      </w:r>
      <w:r w:rsidRPr="00D06DAC">
        <w:rPr>
          <w:rFonts w:ascii="Arial" w:hAnsi="Arial" w:cs="Arial"/>
          <w:sz w:val="20"/>
          <w:szCs w:val="20"/>
        </w:rPr>
        <w:t>την PDVSA</w:t>
      </w:r>
      <w:r>
        <w:rPr>
          <w:rFonts w:ascii="Arial" w:hAnsi="Arial" w:cs="Arial"/>
          <w:sz w:val="20"/>
          <w:szCs w:val="20"/>
        </w:rPr>
        <w:t xml:space="preserve">, </w:t>
      </w:r>
      <w:r w:rsidRPr="00D06DAC">
        <w:rPr>
          <w:rFonts w:ascii="Arial" w:hAnsi="Arial" w:cs="Arial"/>
          <w:sz w:val="20"/>
          <w:szCs w:val="20"/>
        </w:rPr>
        <w:t xml:space="preserve">επιβάλλοντας ουσιαστικά εμπάργκο πετρελαίου. </w:t>
      </w:r>
      <w:r>
        <w:rPr>
          <w:rFonts w:ascii="Arial" w:hAnsi="Arial" w:cs="Arial"/>
          <w:sz w:val="20"/>
          <w:szCs w:val="20"/>
        </w:rPr>
        <w:t xml:space="preserve">Με αυτή την </w:t>
      </w:r>
      <w:r w:rsidRPr="00D06DAC">
        <w:rPr>
          <w:rFonts w:ascii="Arial" w:hAnsi="Arial" w:cs="Arial"/>
          <w:sz w:val="20"/>
          <w:szCs w:val="20"/>
        </w:rPr>
        <w:t>κίνηση πάγωσ</w:t>
      </w:r>
      <w:r>
        <w:rPr>
          <w:rFonts w:ascii="Arial" w:hAnsi="Arial" w:cs="Arial"/>
          <w:sz w:val="20"/>
          <w:szCs w:val="20"/>
        </w:rPr>
        <w:t>αν</w:t>
      </w:r>
      <w:r w:rsidRPr="00D06DAC">
        <w:rPr>
          <w:rFonts w:ascii="Arial" w:hAnsi="Arial" w:cs="Arial"/>
          <w:sz w:val="20"/>
          <w:szCs w:val="20"/>
        </w:rPr>
        <w:t xml:space="preserve"> περιουσιακά στοιχεία</w:t>
      </w:r>
      <w:r w:rsidR="002531A5">
        <w:rPr>
          <w:rFonts w:ascii="Arial" w:hAnsi="Arial" w:cs="Arial"/>
          <w:sz w:val="20"/>
          <w:szCs w:val="20"/>
        </w:rPr>
        <w:t xml:space="preserve"> της</w:t>
      </w:r>
      <w:r w:rsidRPr="00D06DAC">
        <w:rPr>
          <w:rFonts w:ascii="Arial" w:hAnsi="Arial" w:cs="Arial"/>
          <w:sz w:val="20"/>
          <w:szCs w:val="20"/>
        </w:rPr>
        <w:t xml:space="preserve"> </w:t>
      </w:r>
      <w:r>
        <w:rPr>
          <w:rFonts w:ascii="Arial" w:hAnsi="Arial" w:cs="Arial"/>
          <w:sz w:val="20"/>
          <w:szCs w:val="20"/>
        </w:rPr>
        <w:t>ύψους $</w:t>
      </w:r>
      <w:r w:rsidRPr="00D06DAC">
        <w:rPr>
          <w:rFonts w:ascii="Arial" w:hAnsi="Arial" w:cs="Arial"/>
          <w:sz w:val="20"/>
          <w:szCs w:val="20"/>
        </w:rPr>
        <w:t>7 δισ</w:t>
      </w:r>
      <w:r>
        <w:rPr>
          <w:rFonts w:ascii="Arial" w:hAnsi="Arial" w:cs="Arial"/>
          <w:sz w:val="20"/>
          <w:szCs w:val="20"/>
        </w:rPr>
        <w:t xml:space="preserve">. </w:t>
      </w:r>
      <w:r w:rsidRPr="00D06DAC">
        <w:rPr>
          <w:rFonts w:ascii="Arial" w:hAnsi="Arial" w:cs="Arial"/>
          <w:sz w:val="20"/>
          <w:szCs w:val="20"/>
        </w:rPr>
        <w:t xml:space="preserve">και </w:t>
      </w:r>
      <w:r w:rsidR="002531A5">
        <w:rPr>
          <w:rFonts w:ascii="Arial" w:hAnsi="Arial" w:cs="Arial"/>
          <w:sz w:val="20"/>
          <w:szCs w:val="20"/>
        </w:rPr>
        <w:t xml:space="preserve">αυτή </w:t>
      </w:r>
      <w:r>
        <w:rPr>
          <w:rFonts w:ascii="Arial" w:hAnsi="Arial" w:cs="Arial"/>
          <w:sz w:val="20"/>
          <w:szCs w:val="20"/>
        </w:rPr>
        <w:t xml:space="preserve">ουσιαστικά </w:t>
      </w:r>
      <w:r w:rsidR="002531A5">
        <w:rPr>
          <w:rFonts w:ascii="Arial" w:hAnsi="Arial" w:cs="Arial"/>
          <w:sz w:val="20"/>
          <w:szCs w:val="20"/>
        </w:rPr>
        <w:t xml:space="preserve">δεν </w:t>
      </w:r>
      <w:r>
        <w:rPr>
          <w:rFonts w:ascii="Arial" w:hAnsi="Arial" w:cs="Arial"/>
          <w:sz w:val="20"/>
          <w:szCs w:val="20"/>
        </w:rPr>
        <w:t xml:space="preserve">μπορούσε πλέον </w:t>
      </w:r>
      <w:r w:rsidRPr="00D06DAC">
        <w:rPr>
          <w:rFonts w:ascii="Arial" w:hAnsi="Arial" w:cs="Arial"/>
          <w:sz w:val="20"/>
          <w:szCs w:val="20"/>
        </w:rPr>
        <w:t xml:space="preserve">να λαμβάνει πληρωμές για εξαγωγές πετρελαίου προς </w:t>
      </w:r>
      <w:r>
        <w:rPr>
          <w:rFonts w:ascii="Arial" w:hAnsi="Arial" w:cs="Arial"/>
          <w:sz w:val="20"/>
          <w:szCs w:val="20"/>
        </w:rPr>
        <w:t>τις ΗΠΑ</w:t>
      </w:r>
      <w:r w:rsidRPr="00D06DAC">
        <w:rPr>
          <w:rFonts w:ascii="Arial" w:hAnsi="Arial" w:cs="Arial"/>
          <w:sz w:val="20"/>
          <w:szCs w:val="20"/>
        </w:rPr>
        <w:t>.</w:t>
      </w:r>
    </w:p>
    <w:p w14:paraId="5842D835" w14:textId="77777777" w:rsidR="00D06DAC" w:rsidRPr="00D06DAC" w:rsidRDefault="00D06DAC" w:rsidP="002531A5">
      <w:pPr>
        <w:spacing w:afterLines="60" w:after="144"/>
        <w:ind w:left="360" w:hanging="180"/>
        <w:jc w:val="both"/>
        <w:rPr>
          <w:rFonts w:ascii="Arial" w:hAnsi="Arial" w:cs="Arial"/>
          <w:sz w:val="20"/>
          <w:szCs w:val="20"/>
        </w:rPr>
      </w:pPr>
      <w:r w:rsidRPr="00D06DAC">
        <w:rPr>
          <w:rFonts w:ascii="Arial" w:hAnsi="Arial" w:cs="Arial"/>
          <w:sz w:val="20"/>
          <w:szCs w:val="20"/>
        </w:rPr>
        <w:t>• 28 Απριλίου 2019: Τέθηκε σε ισχύ πλήρες εμπάργκο σε όλες τις συναλλαγές με την PDVSA, απειλώντας με δευτερογενείς κυρώσεις οποιαδήποτε ξένη οντότητα συνεργάζεται με την εταιρεία.</w:t>
      </w:r>
    </w:p>
    <w:p w14:paraId="176D3F33" w14:textId="3E3AC5CB" w:rsidR="00D06DAC" w:rsidRPr="00D06DAC" w:rsidRDefault="00D06DAC" w:rsidP="002531A5">
      <w:pPr>
        <w:spacing w:afterLines="60" w:after="144"/>
        <w:ind w:left="360" w:hanging="180"/>
        <w:jc w:val="both"/>
        <w:rPr>
          <w:rFonts w:ascii="Arial" w:hAnsi="Arial" w:cs="Arial"/>
          <w:sz w:val="20"/>
          <w:szCs w:val="20"/>
        </w:rPr>
      </w:pPr>
      <w:r w:rsidRPr="00D06DAC">
        <w:rPr>
          <w:rFonts w:ascii="Arial" w:hAnsi="Arial" w:cs="Arial"/>
          <w:sz w:val="20"/>
          <w:szCs w:val="20"/>
        </w:rPr>
        <w:t xml:space="preserve">• Οκτώβριος 2023: Η κυβέρνηση </w:t>
      </w:r>
      <w:r>
        <w:rPr>
          <w:rFonts w:ascii="Arial" w:hAnsi="Arial" w:cs="Arial"/>
          <w:sz w:val="20"/>
          <w:szCs w:val="20"/>
          <w:lang w:val="en-US"/>
        </w:rPr>
        <w:t>Biden</w:t>
      </w:r>
      <w:r w:rsidRPr="00D06DAC">
        <w:rPr>
          <w:rFonts w:ascii="Arial" w:hAnsi="Arial" w:cs="Arial"/>
          <w:sz w:val="20"/>
          <w:szCs w:val="20"/>
        </w:rPr>
        <w:t xml:space="preserve"> ήρε</w:t>
      </w:r>
      <w:r>
        <w:rPr>
          <w:rFonts w:ascii="Arial" w:hAnsi="Arial" w:cs="Arial"/>
          <w:sz w:val="20"/>
          <w:szCs w:val="20"/>
        </w:rPr>
        <w:t>,</w:t>
      </w:r>
      <w:r w:rsidRPr="00D06DAC">
        <w:rPr>
          <w:rFonts w:ascii="Arial" w:hAnsi="Arial" w:cs="Arial"/>
          <w:sz w:val="20"/>
          <w:szCs w:val="20"/>
        </w:rPr>
        <w:t xml:space="preserve"> </w:t>
      </w:r>
      <w:r>
        <w:rPr>
          <w:rFonts w:ascii="Arial" w:hAnsi="Arial" w:cs="Arial"/>
          <w:sz w:val="20"/>
          <w:szCs w:val="20"/>
        </w:rPr>
        <w:t>για έξη μήνες,</w:t>
      </w:r>
      <w:r w:rsidRPr="00D06DAC">
        <w:rPr>
          <w:rFonts w:ascii="Arial" w:hAnsi="Arial" w:cs="Arial"/>
          <w:sz w:val="20"/>
          <w:szCs w:val="20"/>
        </w:rPr>
        <w:t xml:space="preserve"> </w:t>
      </w:r>
      <w:r>
        <w:rPr>
          <w:rFonts w:ascii="Arial" w:hAnsi="Arial" w:cs="Arial"/>
          <w:sz w:val="20"/>
          <w:szCs w:val="20"/>
        </w:rPr>
        <w:t xml:space="preserve">μέρος των κυρώσεων, </w:t>
      </w:r>
      <w:r w:rsidRPr="00D06DAC">
        <w:rPr>
          <w:rFonts w:ascii="Arial" w:hAnsi="Arial" w:cs="Arial"/>
          <w:sz w:val="20"/>
          <w:szCs w:val="20"/>
        </w:rPr>
        <w:t>μετά τη</w:t>
      </w:r>
      <w:r>
        <w:rPr>
          <w:rFonts w:ascii="Arial" w:hAnsi="Arial" w:cs="Arial"/>
          <w:sz w:val="20"/>
          <w:szCs w:val="20"/>
        </w:rPr>
        <w:t>ν</w:t>
      </w:r>
      <w:r w:rsidRPr="00D06DAC">
        <w:rPr>
          <w:rFonts w:ascii="Arial" w:hAnsi="Arial" w:cs="Arial"/>
          <w:sz w:val="20"/>
          <w:szCs w:val="20"/>
        </w:rPr>
        <w:t xml:space="preserve"> Συμφωνία των </w:t>
      </w:r>
      <w:r>
        <w:rPr>
          <w:rFonts w:ascii="Arial" w:hAnsi="Arial" w:cs="Arial"/>
          <w:sz w:val="20"/>
          <w:szCs w:val="20"/>
          <w:lang w:val="en-US"/>
        </w:rPr>
        <w:t>Barbados</w:t>
      </w:r>
      <w:r w:rsidRPr="00D06DAC">
        <w:rPr>
          <w:rFonts w:ascii="Arial" w:hAnsi="Arial" w:cs="Arial"/>
          <w:sz w:val="20"/>
          <w:szCs w:val="20"/>
        </w:rPr>
        <w:t>, η οποία αποσκοπούσε στην υποστήριξη ελεύθερων εκλογών.</w:t>
      </w:r>
    </w:p>
    <w:p w14:paraId="0ECFE613" w14:textId="77777777" w:rsidR="00D06DAC" w:rsidRDefault="00D06DAC" w:rsidP="002531A5">
      <w:pPr>
        <w:spacing w:afterLines="60" w:after="144"/>
        <w:ind w:left="360" w:hanging="180"/>
        <w:jc w:val="both"/>
        <w:rPr>
          <w:rFonts w:ascii="Arial" w:hAnsi="Arial" w:cs="Arial"/>
          <w:sz w:val="20"/>
          <w:szCs w:val="20"/>
        </w:rPr>
      </w:pPr>
      <w:r w:rsidRPr="00D06DAC">
        <w:rPr>
          <w:rFonts w:ascii="Arial" w:hAnsi="Arial" w:cs="Arial"/>
          <w:sz w:val="20"/>
          <w:szCs w:val="20"/>
        </w:rPr>
        <w:t xml:space="preserve">• Απρίλιος 2024: Οι ΗΠΑ </w:t>
      </w:r>
      <w:proofErr w:type="spellStart"/>
      <w:r w:rsidRPr="00D06DAC">
        <w:rPr>
          <w:rFonts w:ascii="Arial" w:hAnsi="Arial" w:cs="Arial"/>
          <w:sz w:val="20"/>
          <w:szCs w:val="20"/>
        </w:rPr>
        <w:t>επανέφεραν</w:t>
      </w:r>
      <w:proofErr w:type="spellEnd"/>
      <w:r w:rsidRPr="00D06DAC">
        <w:rPr>
          <w:rFonts w:ascii="Arial" w:hAnsi="Arial" w:cs="Arial"/>
          <w:sz w:val="20"/>
          <w:szCs w:val="20"/>
        </w:rPr>
        <w:t xml:space="preserve"> συντριπτικές κυρώσεις, </w:t>
      </w:r>
      <w:r>
        <w:rPr>
          <w:rFonts w:ascii="Arial" w:hAnsi="Arial" w:cs="Arial"/>
          <w:sz w:val="20"/>
          <w:szCs w:val="20"/>
        </w:rPr>
        <w:t xml:space="preserve">θεωρώντας ότι </w:t>
      </w:r>
      <w:r w:rsidRPr="00D06DAC">
        <w:rPr>
          <w:rFonts w:ascii="Arial" w:hAnsi="Arial" w:cs="Arial"/>
          <w:sz w:val="20"/>
          <w:szCs w:val="20"/>
        </w:rPr>
        <w:t xml:space="preserve">η κυβέρνηση της Βενεζουέλας δεν τήρησε τις δεσμεύσεις για τη διεξαγωγή δίκαιων εκλογών. </w:t>
      </w:r>
    </w:p>
    <w:p w14:paraId="0322DD71" w14:textId="548538B0" w:rsidR="00C43544" w:rsidRPr="00D06DAC" w:rsidRDefault="00D06DAC" w:rsidP="002531A5">
      <w:pPr>
        <w:spacing w:after="200" w:line="276" w:lineRule="auto"/>
        <w:ind w:left="360" w:hanging="180"/>
        <w:jc w:val="both"/>
        <w:rPr>
          <w:rFonts w:ascii="Arial" w:hAnsi="Arial" w:cs="Arial"/>
          <w:sz w:val="20"/>
          <w:szCs w:val="20"/>
        </w:rPr>
      </w:pPr>
      <w:r w:rsidRPr="00D06DAC">
        <w:rPr>
          <w:rFonts w:ascii="Arial" w:hAnsi="Arial" w:cs="Arial"/>
          <w:sz w:val="20"/>
          <w:szCs w:val="20"/>
        </w:rPr>
        <w:t xml:space="preserve">• 16 Δεκεμβρίου 2025: </w:t>
      </w:r>
      <w:r>
        <w:rPr>
          <w:rFonts w:ascii="Arial" w:hAnsi="Arial" w:cs="Arial"/>
          <w:sz w:val="20"/>
          <w:szCs w:val="20"/>
        </w:rPr>
        <w:t xml:space="preserve">επιβολή </w:t>
      </w:r>
      <w:r w:rsidRPr="00D06DAC">
        <w:rPr>
          <w:rFonts w:ascii="Arial" w:hAnsi="Arial" w:cs="Arial"/>
          <w:sz w:val="20"/>
          <w:szCs w:val="20"/>
        </w:rPr>
        <w:t>«πλήρ</w:t>
      </w:r>
      <w:r>
        <w:rPr>
          <w:rFonts w:ascii="Arial" w:hAnsi="Arial" w:cs="Arial"/>
          <w:sz w:val="20"/>
          <w:szCs w:val="20"/>
        </w:rPr>
        <w:t>ους</w:t>
      </w:r>
      <w:r w:rsidRPr="00D06DAC">
        <w:rPr>
          <w:rFonts w:ascii="Arial" w:hAnsi="Arial" w:cs="Arial"/>
          <w:sz w:val="20"/>
          <w:szCs w:val="20"/>
        </w:rPr>
        <w:t xml:space="preserve"> ναυτικ</w:t>
      </w:r>
      <w:r>
        <w:rPr>
          <w:rFonts w:ascii="Arial" w:hAnsi="Arial" w:cs="Arial"/>
          <w:sz w:val="20"/>
          <w:szCs w:val="20"/>
        </w:rPr>
        <w:t>ού</w:t>
      </w:r>
      <w:r w:rsidRPr="00D06DAC">
        <w:rPr>
          <w:rFonts w:ascii="Arial" w:hAnsi="Arial" w:cs="Arial"/>
          <w:sz w:val="20"/>
          <w:szCs w:val="20"/>
        </w:rPr>
        <w:t xml:space="preserve"> αποκλεισμ</w:t>
      </w:r>
      <w:r>
        <w:rPr>
          <w:rFonts w:ascii="Arial" w:hAnsi="Arial" w:cs="Arial"/>
          <w:sz w:val="20"/>
          <w:szCs w:val="20"/>
        </w:rPr>
        <w:t>ού</w:t>
      </w:r>
      <w:r w:rsidRPr="00D06DAC">
        <w:rPr>
          <w:rFonts w:ascii="Arial" w:hAnsi="Arial" w:cs="Arial"/>
          <w:sz w:val="20"/>
          <w:szCs w:val="20"/>
        </w:rPr>
        <w:t xml:space="preserve">» </w:t>
      </w:r>
      <w:r>
        <w:rPr>
          <w:rFonts w:ascii="Arial" w:hAnsi="Arial" w:cs="Arial"/>
          <w:sz w:val="20"/>
          <w:szCs w:val="20"/>
        </w:rPr>
        <w:t xml:space="preserve">από την κυβέρνηση </w:t>
      </w:r>
      <w:r>
        <w:rPr>
          <w:rFonts w:ascii="Arial" w:hAnsi="Arial" w:cs="Arial"/>
          <w:sz w:val="20"/>
          <w:szCs w:val="20"/>
          <w:lang w:val="en-US"/>
        </w:rPr>
        <w:t>Trump</w:t>
      </w:r>
      <w:r w:rsidRPr="00D06DAC">
        <w:rPr>
          <w:rFonts w:ascii="Arial" w:hAnsi="Arial" w:cs="Arial"/>
          <w:sz w:val="20"/>
          <w:szCs w:val="20"/>
        </w:rPr>
        <w:t xml:space="preserve"> </w:t>
      </w:r>
      <w:r>
        <w:rPr>
          <w:rFonts w:ascii="Arial" w:hAnsi="Arial" w:cs="Arial"/>
          <w:sz w:val="20"/>
          <w:szCs w:val="20"/>
        </w:rPr>
        <w:t xml:space="preserve">σε όλα τα </w:t>
      </w:r>
      <w:r w:rsidRPr="00D06DAC">
        <w:rPr>
          <w:rFonts w:ascii="Arial" w:hAnsi="Arial" w:cs="Arial"/>
          <w:sz w:val="20"/>
          <w:szCs w:val="20"/>
        </w:rPr>
        <w:t>πετρελαιοφόρ</w:t>
      </w:r>
      <w:r>
        <w:rPr>
          <w:rFonts w:ascii="Arial" w:hAnsi="Arial" w:cs="Arial"/>
          <w:sz w:val="20"/>
          <w:szCs w:val="20"/>
        </w:rPr>
        <w:t>α</w:t>
      </w:r>
      <w:r w:rsidRPr="00D06DAC">
        <w:rPr>
          <w:rFonts w:ascii="Arial" w:hAnsi="Arial" w:cs="Arial"/>
          <w:sz w:val="20"/>
          <w:szCs w:val="20"/>
        </w:rPr>
        <w:t xml:space="preserve"> που υπόκεινται σε κυρώσεις</w:t>
      </w:r>
      <w:r>
        <w:rPr>
          <w:rFonts w:ascii="Arial" w:hAnsi="Arial" w:cs="Arial"/>
          <w:sz w:val="20"/>
          <w:szCs w:val="20"/>
        </w:rPr>
        <w:t>. Συνεπώς, αυτά δεν επιτρέπεται να δένουν σε λιμένες της Βενεζουέλας</w:t>
      </w:r>
    </w:p>
    <w:p w14:paraId="4230D6F4" w14:textId="44746F25" w:rsidR="00F323E8" w:rsidRPr="00243E10" w:rsidRDefault="00F10892" w:rsidP="00F10892">
      <w:pPr>
        <w:spacing w:after="120"/>
        <w:jc w:val="both"/>
        <w:rPr>
          <w:rFonts w:ascii="Arial" w:hAnsi="Arial" w:cs="Arial"/>
          <w:b/>
          <w:sz w:val="20"/>
          <w:szCs w:val="20"/>
        </w:rPr>
      </w:pPr>
      <w:r>
        <w:rPr>
          <w:rFonts w:ascii="Arial" w:hAnsi="Arial" w:cs="Arial"/>
          <w:b/>
          <w:sz w:val="20"/>
          <w:szCs w:val="20"/>
        </w:rPr>
        <w:t xml:space="preserve">Νομικές διεκδικήσεις </w:t>
      </w:r>
      <w:proofErr w:type="spellStart"/>
      <w:r w:rsidR="00243E10" w:rsidRPr="00243E10">
        <w:rPr>
          <w:rFonts w:ascii="Arial" w:hAnsi="Arial" w:cs="Arial"/>
          <w:b/>
          <w:sz w:val="20"/>
          <w:szCs w:val="20"/>
        </w:rPr>
        <w:t>ExxonMobil</w:t>
      </w:r>
      <w:proofErr w:type="spellEnd"/>
      <w:r w:rsidR="00243E10" w:rsidRPr="00243E10">
        <w:rPr>
          <w:rFonts w:ascii="Arial" w:hAnsi="Arial" w:cs="Arial"/>
          <w:b/>
          <w:sz w:val="20"/>
          <w:szCs w:val="20"/>
        </w:rPr>
        <w:t xml:space="preserve"> και </w:t>
      </w:r>
      <w:proofErr w:type="spellStart"/>
      <w:r w:rsidR="00243E10" w:rsidRPr="00243E10">
        <w:rPr>
          <w:rFonts w:ascii="Arial" w:hAnsi="Arial" w:cs="Arial"/>
          <w:b/>
          <w:sz w:val="20"/>
          <w:szCs w:val="20"/>
        </w:rPr>
        <w:t>ConocoPhillips</w:t>
      </w:r>
      <w:proofErr w:type="spellEnd"/>
    </w:p>
    <w:p w14:paraId="40D7FF41" w14:textId="38E8B005" w:rsidR="00F323E8" w:rsidRPr="00F10892" w:rsidRDefault="00F323E8" w:rsidP="00243E10">
      <w:pPr>
        <w:spacing w:after="200" w:line="276" w:lineRule="auto"/>
        <w:ind w:left="180"/>
        <w:jc w:val="both"/>
        <w:rPr>
          <w:rFonts w:ascii="Arial" w:hAnsi="Arial" w:cs="Arial"/>
          <w:sz w:val="20"/>
          <w:szCs w:val="20"/>
        </w:rPr>
      </w:pPr>
      <w:r w:rsidRPr="00F10892">
        <w:rPr>
          <w:rFonts w:ascii="Arial" w:hAnsi="Arial" w:cs="Arial"/>
          <w:sz w:val="20"/>
          <w:szCs w:val="20"/>
        </w:rPr>
        <w:t xml:space="preserve">Μετά τις κατασχέσεις του 2007, οι εταιρείες </w:t>
      </w:r>
      <w:r w:rsidR="00F10892" w:rsidRPr="00F10892">
        <w:rPr>
          <w:rFonts w:ascii="Arial" w:hAnsi="Arial" w:cs="Arial"/>
          <w:sz w:val="20"/>
          <w:szCs w:val="20"/>
        </w:rPr>
        <w:t xml:space="preserve">προσέφυγαν </w:t>
      </w:r>
      <w:r w:rsidRPr="00F10892">
        <w:rPr>
          <w:rFonts w:ascii="Arial" w:hAnsi="Arial" w:cs="Arial"/>
          <w:sz w:val="20"/>
          <w:szCs w:val="20"/>
        </w:rPr>
        <w:t xml:space="preserve"> </w:t>
      </w:r>
      <w:r w:rsidR="00F10892" w:rsidRPr="00F10892">
        <w:rPr>
          <w:rFonts w:ascii="Arial" w:hAnsi="Arial" w:cs="Arial"/>
          <w:sz w:val="20"/>
          <w:szCs w:val="20"/>
        </w:rPr>
        <w:t xml:space="preserve">σε </w:t>
      </w:r>
      <w:r w:rsidRPr="00F10892">
        <w:rPr>
          <w:rFonts w:ascii="Arial" w:hAnsi="Arial" w:cs="Arial"/>
          <w:sz w:val="20"/>
          <w:szCs w:val="20"/>
        </w:rPr>
        <w:t>διεθν</w:t>
      </w:r>
      <w:r w:rsidR="00F10892" w:rsidRPr="00F10892">
        <w:rPr>
          <w:rFonts w:ascii="Arial" w:hAnsi="Arial" w:cs="Arial"/>
          <w:sz w:val="20"/>
          <w:szCs w:val="20"/>
        </w:rPr>
        <w:t>ή</w:t>
      </w:r>
      <w:r w:rsidRPr="00F10892">
        <w:rPr>
          <w:rFonts w:ascii="Arial" w:hAnsi="Arial" w:cs="Arial"/>
          <w:sz w:val="20"/>
          <w:szCs w:val="20"/>
        </w:rPr>
        <w:t xml:space="preserve"> διαιτησία.</w:t>
      </w:r>
      <w:r w:rsidR="00F10892" w:rsidRPr="00F10892">
        <w:rPr>
          <w:rFonts w:ascii="Arial" w:hAnsi="Arial" w:cs="Arial"/>
          <w:sz w:val="20"/>
          <w:szCs w:val="20"/>
        </w:rPr>
        <w:t xml:space="preserve"> </w:t>
      </w:r>
      <w:r w:rsidRPr="00F10892">
        <w:rPr>
          <w:rFonts w:ascii="Arial" w:hAnsi="Arial" w:cs="Arial"/>
          <w:sz w:val="20"/>
          <w:szCs w:val="20"/>
        </w:rPr>
        <w:t xml:space="preserve">Το διαιτητικό δικαστήριο της Παγκόσμιας Τράπεζας (ICSID) τελικά διέταξε τη Βενεζουέλα να καταβάλει στην </w:t>
      </w:r>
      <w:proofErr w:type="spellStart"/>
      <w:r w:rsidRPr="00F10892">
        <w:rPr>
          <w:rFonts w:ascii="Arial" w:hAnsi="Arial" w:cs="Arial"/>
          <w:sz w:val="20"/>
          <w:szCs w:val="20"/>
        </w:rPr>
        <w:t>ConocoPhillips</w:t>
      </w:r>
      <w:proofErr w:type="spellEnd"/>
      <w:r w:rsidRPr="00F10892">
        <w:rPr>
          <w:rFonts w:ascii="Arial" w:hAnsi="Arial" w:cs="Arial"/>
          <w:sz w:val="20"/>
          <w:szCs w:val="20"/>
        </w:rPr>
        <w:t xml:space="preserve"> </w:t>
      </w:r>
      <w:r w:rsidR="00F10892" w:rsidRPr="00F10892">
        <w:rPr>
          <w:rFonts w:ascii="Arial" w:hAnsi="Arial" w:cs="Arial"/>
          <w:sz w:val="20"/>
          <w:szCs w:val="20"/>
        </w:rPr>
        <w:t>$</w:t>
      </w:r>
      <w:r w:rsidRPr="00F10892">
        <w:rPr>
          <w:rFonts w:ascii="Arial" w:hAnsi="Arial" w:cs="Arial"/>
          <w:sz w:val="20"/>
          <w:szCs w:val="20"/>
        </w:rPr>
        <w:t xml:space="preserve">10 </w:t>
      </w:r>
      <w:r w:rsidR="00243E10">
        <w:rPr>
          <w:rFonts w:ascii="Arial" w:hAnsi="Arial" w:cs="Arial"/>
          <w:sz w:val="20"/>
          <w:szCs w:val="20"/>
        </w:rPr>
        <w:t xml:space="preserve">- $12 </w:t>
      </w:r>
      <w:r w:rsidRPr="00F10892">
        <w:rPr>
          <w:rFonts w:ascii="Arial" w:hAnsi="Arial" w:cs="Arial"/>
          <w:sz w:val="20"/>
          <w:szCs w:val="20"/>
        </w:rPr>
        <w:t>δι</w:t>
      </w:r>
      <w:r w:rsidR="00F10892" w:rsidRPr="00F10892">
        <w:rPr>
          <w:rFonts w:ascii="Arial" w:hAnsi="Arial" w:cs="Arial"/>
          <w:sz w:val="20"/>
          <w:szCs w:val="20"/>
        </w:rPr>
        <w:t>σ.</w:t>
      </w:r>
      <w:r w:rsidRPr="00F10892">
        <w:rPr>
          <w:rFonts w:ascii="Arial" w:hAnsi="Arial" w:cs="Arial"/>
          <w:sz w:val="20"/>
          <w:szCs w:val="20"/>
        </w:rPr>
        <w:t xml:space="preserve"> και στην </w:t>
      </w:r>
      <w:proofErr w:type="spellStart"/>
      <w:r w:rsidRPr="00F10892">
        <w:rPr>
          <w:rFonts w:ascii="Arial" w:hAnsi="Arial" w:cs="Arial"/>
          <w:sz w:val="20"/>
          <w:szCs w:val="20"/>
        </w:rPr>
        <w:t>ExxonMobil</w:t>
      </w:r>
      <w:proofErr w:type="spellEnd"/>
      <w:r w:rsidRPr="00F10892">
        <w:rPr>
          <w:rFonts w:ascii="Arial" w:hAnsi="Arial" w:cs="Arial"/>
          <w:sz w:val="20"/>
          <w:szCs w:val="20"/>
        </w:rPr>
        <w:t xml:space="preserve"> </w:t>
      </w:r>
      <w:r w:rsidR="00F10892" w:rsidRPr="00F10892">
        <w:rPr>
          <w:rFonts w:ascii="Arial" w:hAnsi="Arial" w:cs="Arial"/>
          <w:sz w:val="20"/>
          <w:szCs w:val="20"/>
        </w:rPr>
        <w:t>$</w:t>
      </w:r>
      <w:r w:rsidRPr="00F10892">
        <w:rPr>
          <w:rFonts w:ascii="Arial" w:hAnsi="Arial" w:cs="Arial"/>
          <w:sz w:val="20"/>
          <w:szCs w:val="20"/>
        </w:rPr>
        <w:t>1</w:t>
      </w:r>
      <w:r w:rsidR="00243E10">
        <w:rPr>
          <w:rFonts w:ascii="Arial" w:hAnsi="Arial" w:cs="Arial"/>
          <w:sz w:val="20"/>
          <w:szCs w:val="20"/>
        </w:rPr>
        <w:t>,65 - $2</w:t>
      </w:r>
      <w:r w:rsidRPr="00F10892">
        <w:rPr>
          <w:rFonts w:ascii="Arial" w:hAnsi="Arial" w:cs="Arial"/>
          <w:sz w:val="20"/>
          <w:szCs w:val="20"/>
        </w:rPr>
        <w:t xml:space="preserve"> δισ.</w:t>
      </w:r>
    </w:p>
    <w:p w14:paraId="3C5C7265" w14:textId="46090D07" w:rsidR="00C43544" w:rsidRDefault="00F323E8" w:rsidP="00D06DAC">
      <w:pPr>
        <w:spacing w:after="200" w:line="276" w:lineRule="auto"/>
        <w:ind w:left="180"/>
        <w:jc w:val="both"/>
        <w:rPr>
          <w:rFonts w:ascii="Arial" w:hAnsi="Arial" w:cs="Arial"/>
          <w:b/>
          <w:sz w:val="20"/>
          <w:szCs w:val="20"/>
        </w:rPr>
      </w:pPr>
      <w:r w:rsidRPr="00F10892">
        <w:rPr>
          <w:rFonts w:ascii="Arial" w:hAnsi="Arial" w:cs="Arial"/>
          <w:sz w:val="20"/>
          <w:szCs w:val="20"/>
        </w:rPr>
        <w:t xml:space="preserve">Η Βενεζουέλα </w:t>
      </w:r>
      <w:r w:rsidR="00F10892">
        <w:rPr>
          <w:rFonts w:ascii="Arial" w:hAnsi="Arial" w:cs="Arial"/>
          <w:sz w:val="20"/>
          <w:szCs w:val="20"/>
        </w:rPr>
        <w:t>έχει καταβάλει μέρος μόνον των αποζημιώσεων</w:t>
      </w:r>
      <w:r w:rsidRPr="00F10892">
        <w:rPr>
          <w:rFonts w:ascii="Arial" w:hAnsi="Arial" w:cs="Arial"/>
          <w:sz w:val="20"/>
          <w:szCs w:val="20"/>
        </w:rPr>
        <w:t>.</w:t>
      </w:r>
      <w:r w:rsidR="00C43544">
        <w:rPr>
          <w:rFonts w:ascii="Arial" w:hAnsi="Arial" w:cs="Arial"/>
          <w:b/>
          <w:sz w:val="20"/>
          <w:szCs w:val="20"/>
        </w:rPr>
        <w:br w:type="page"/>
      </w:r>
    </w:p>
    <w:p w14:paraId="6981B6A7" w14:textId="4EA21DC2" w:rsidR="00F323E8" w:rsidRPr="00F323E8" w:rsidRDefault="00F323E8" w:rsidP="00D06DAC">
      <w:pPr>
        <w:spacing w:after="360"/>
        <w:ind w:hanging="360"/>
        <w:rPr>
          <w:rFonts w:ascii="Arial" w:hAnsi="Arial" w:cs="Arial"/>
          <w:b/>
          <w:sz w:val="20"/>
          <w:szCs w:val="20"/>
        </w:rPr>
      </w:pPr>
      <w:r>
        <w:rPr>
          <w:rFonts w:ascii="Arial" w:hAnsi="Arial" w:cs="Arial"/>
          <w:b/>
          <w:sz w:val="20"/>
          <w:szCs w:val="20"/>
        </w:rPr>
        <w:lastRenderedPageBreak/>
        <w:t>Β</w:t>
      </w:r>
      <w:r w:rsidRPr="00C853EF">
        <w:rPr>
          <w:rFonts w:ascii="Arial" w:hAnsi="Arial" w:cs="Arial"/>
          <w:b/>
          <w:sz w:val="20"/>
          <w:szCs w:val="20"/>
        </w:rPr>
        <w:t xml:space="preserve">. </w:t>
      </w:r>
      <w:r>
        <w:rPr>
          <w:rFonts w:ascii="Arial" w:hAnsi="Arial" w:cs="Arial"/>
          <w:b/>
          <w:sz w:val="20"/>
          <w:szCs w:val="20"/>
        </w:rPr>
        <w:tab/>
        <w:t xml:space="preserve">Δραστηριότητες </w:t>
      </w:r>
      <w:r>
        <w:rPr>
          <w:rFonts w:ascii="Arial" w:hAnsi="Arial" w:cs="Arial"/>
          <w:b/>
          <w:sz w:val="20"/>
          <w:szCs w:val="20"/>
          <w:lang w:val="en-US"/>
        </w:rPr>
        <w:t>Chevron</w:t>
      </w:r>
      <w:r>
        <w:rPr>
          <w:rFonts w:ascii="Arial" w:hAnsi="Arial" w:cs="Arial"/>
          <w:b/>
          <w:sz w:val="20"/>
          <w:szCs w:val="20"/>
        </w:rPr>
        <w:t xml:space="preserve"> </w:t>
      </w:r>
    </w:p>
    <w:p w14:paraId="480D8F48" w14:textId="4B576144" w:rsidR="004F6BCD" w:rsidRDefault="004F6BCD" w:rsidP="003B796D">
      <w:pPr>
        <w:spacing w:after="200"/>
        <w:rPr>
          <w:rFonts w:ascii="Arial" w:hAnsi="Arial" w:cs="Arial"/>
          <w:sz w:val="20"/>
          <w:szCs w:val="20"/>
        </w:rPr>
      </w:pPr>
      <w:r w:rsidRPr="004F6BCD">
        <w:rPr>
          <w:rFonts w:ascii="Arial" w:hAnsi="Arial" w:cs="Arial"/>
          <w:sz w:val="20"/>
          <w:szCs w:val="20"/>
        </w:rPr>
        <w:t xml:space="preserve">Η </w:t>
      </w:r>
      <w:r w:rsidRPr="003B796D">
        <w:rPr>
          <w:rFonts w:ascii="Arial" w:hAnsi="Arial" w:cs="Arial"/>
          <w:b/>
          <w:sz w:val="20"/>
          <w:szCs w:val="20"/>
          <w:lang w:val="en-US"/>
        </w:rPr>
        <w:t>Chevron</w:t>
      </w:r>
      <w:r w:rsidRPr="004F6BCD">
        <w:rPr>
          <w:rFonts w:ascii="Arial" w:hAnsi="Arial" w:cs="Arial"/>
          <w:sz w:val="20"/>
          <w:szCs w:val="20"/>
        </w:rPr>
        <w:t xml:space="preserve"> </w:t>
      </w:r>
      <w:r>
        <w:rPr>
          <w:rFonts w:ascii="Arial" w:hAnsi="Arial" w:cs="Arial"/>
          <w:sz w:val="20"/>
          <w:szCs w:val="20"/>
        </w:rPr>
        <w:t xml:space="preserve">αποτελεί την </w:t>
      </w:r>
      <w:r w:rsidRPr="004F6BCD">
        <w:rPr>
          <w:rFonts w:ascii="Arial" w:hAnsi="Arial" w:cs="Arial"/>
          <w:sz w:val="20"/>
          <w:szCs w:val="20"/>
        </w:rPr>
        <w:t xml:space="preserve">μόνη </w:t>
      </w:r>
      <w:r w:rsidR="00F323E8">
        <w:rPr>
          <w:rFonts w:ascii="Arial" w:hAnsi="Arial" w:cs="Arial"/>
          <w:sz w:val="20"/>
          <w:szCs w:val="20"/>
        </w:rPr>
        <w:t>σημαντική</w:t>
      </w:r>
      <w:r>
        <w:rPr>
          <w:rFonts w:ascii="Arial" w:hAnsi="Arial" w:cs="Arial"/>
          <w:sz w:val="20"/>
          <w:szCs w:val="20"/>
        </w:rPr>
        <w:t xml:space="preserve"> </w:t>
      </w:r>
      <w:r w:rsidRPr="004F6BCD">
        <w:rPr>
          <w:rFonts w:ascii="Arial" w:hAnsi="Arial" w:cs="Arial"/>
          <w:sz w:val="20"/>
          <w:szCs w:val="20"/>
        </w:rPr>
        <w:t xml:space="preserve">πετρελαϊκή εταιρεία </w:t>
      </w:r>
      <w:r>
        <w:rPr>
          <w:rFonts w:ascii="Arial" w:hAnsi="Arial" w:cs="Arial"/>
          <w:sz w:val="20"/>
          <w:szCs w:val="20"/>
        </w:rPr>
        <w:t xml:space="preserve">των ΗΠΑ </w:t>
      </w:r>
      <w:r w:rsidRPr="004F6BCD">
        <w:rPr>
          <w:rFonts w:ascii="Arial" w:hAnsi="Arial" w:cs="Arial"/>
          <w:sz w:val="20"/>
          <w:szCs w:val="20"/>
        </w:rPr>
        <w:t>που διατηρεί ενεργές δραστηριότητες στη Βενεζουέλα</w:t>
      </w:r>
      <w:r>
        <w:rPr>
          <w:rFonts w:ascii="Arial" w:hAnsi="Arial" w:cs="Arial"/>
          <w:sz w:val="20"/>
          <w:szCs w:val="20"/>
        </w:rPr>
        <w:t xml:space="preserve">. Αυτό είναι </w:t>
      </w:r>
      <w:r w:rsidRPr="004F6BCD">
        <w:rPr>
          <w:rFonts w:ascii="Arial" w:hAnsi="Arial" w:cs="Arial"/>
          <w:sz w:val="20"/>
          <w:szCs w:val="20"/>
        </w:rPr>
        <w:t xml:space="preserve">αποτέλεσμα της στρατηγικής απόφασης να παραμείνει </w:t>
      </w:r>
      <w:r>
        <w:rPr>
          <w:rFonts w:ascii="Arial" w:hAnsi="Arial" w:cs="Arial"/>
          <w:sz w:val="20"/>
          <w:szCs w:val="20"/>
        </w:rPr>
        <w:t xml:space="preserve">στην χώρα </w:t>
      </w:r>
      <w:r w:rsidRPr="004F6BCD">
        <w:rPr>
          <w:rFonts w:ascii="Arial" w:hAnsi="Arial" w:cs="Arial"/>
          <w:sz w:val="20"/>
          <w:szCs w:val="20"/>
        </w:rPr>
        <w:t>ως μειοψηφικός εταίρος κατά τη διάρκεια προηγούμενων κυμάτων εθνικοποιήσεων.</w:t>
      </w:r>
    </w:p>
    <w:p w14:paraId="4A7E13BD" w14:textId="42E2F486" w:rsidR="004F6BCD" w:rsidRDefault="004F6BCD" w:rsidP="003B796D">
      <w:pPr>
        <w:spacing w:after="200"/>
        <w:rPr>
          <w:rFonts w:ascii="Arial" w:hAnsi="Arial" w:cs="Arial"/>
          <w:sz w:val="20"/>
          <w:szCs w:val="20"/>
        </w:rPr>
      </w:pPr>
      <w:r w:rsidRPr="004F6BCD">
        <w:rPr>
          <w:rFonts w:ascii="Arial" w:hAnsi="Arial" w:cs="Arial"/>
          <w:sz w:val="20"/>
          <w:szCs w:val="20"/>
        </w:rPr>
        <w:t xml:space="preserve">Η εταιρεία λειτουργεί βάσει ειδικής άδειας του Υπουργείου Οικονομικών των ΗΠΑ που </w:t>
      </w:r>
      <w:r>
        <w:rPr>
          <w:rFonts w:ascii="Arial" w:hAnsi="Arial" w:cs="Arial"/>
          <w:sz w:val="20"/>
          <w:szCs w:val="20"/>
        </w:rPr>
        <w:t xml:space="preserve">της </w:t>
      </w:r>
      <w:r w:rsidRPr="004F6BCD">
        <w:rPr>
          <w:rFonts w:ascii="Arial" w:hAnsi="Arial" w:cs="Arial"/>
          <w:sz w:val="20"/>
          <w:szCs w:val="20"/>
        </w:rPr>
        <w:t xml:space="preserve">επιτρέπει περιορισμένη παραγωγή και είσπραξη χρέους </w:t>
      </w:r>
      <w:r>
        <w:rPr>
          <w:rFonts w:ascii="Arial" w:hAnsi="Arial" w:cs="Arial"/>
          <w:sz w:val="20"/>
          <w:szCs w:val="20"/>
        </w:rPr>
        <w:t xml:space="preserve">από την κρατική </w:t>
      </w:r>
      <w:r w:rsidRPr="004F6BCD">
        <w:rPr>
          <w:rFonts w:ascii="Roboto" w:hAnsi="Roboto"/>
          <w:color w:val="0A0A0A"/>
          <w:lang w:val="en-US" w:eastAsia="en-US"/>
        </w:rPr>
        <w:t>PDVSA</w:t>
      </w:r>
      <w:r>
        <w:rPr>
          <w:rFonts w:ascii="Roboto" w:hAnsi="Roboto"/>
          <w:color w:val="0A0A0A"/>
          <w:lang w:eastAsia="en-US"/>
        </w:rPr>
        <w:t xml:space="preserve">, </w:t>
      </w:r>
      <w:r w:rsidRPr="004F6BCD">
        <w:rPr>
          <w:rFonts w:ascii="Arial" w:hAnsi="Arial" w:cs="Arial"/>
          <w:sz w:val="20"/>
          <w:szCs w:val="20"/>
        </w:rPr>
        <w:t xml:space="preserve">παρά </w:t>
      </w:r>
      <w:r>
        <w:rPr>
          <w:rFonts w:ascii="Arial" w:hAnsi="Arial" w:cs="Arial"/>
          <w:sz w:val="20"/>
          <w:szCs w:val="20"/>
        </w:rPr>
        <w:t xml:space="preserve">το πλαίσιο </w:t>
      </w:r>
      <w:r w:rsidRPr="004F6BCD">
        <w:rPr>
          <w:rFonts w:ascii="Arial" w:hAnsi="Arial" w:cs="Arial"/>
          <w:sz w:val="20"/>
          <w:szCs w:val="20"/>
        </w:rPr>
        <w:t>κυρώσε</w:t>
      </w:r>
      <w:r>
        <w:rPr>
          <w:rFonts w:ascii="Arial" w:hAnsi="Arial" w:cs="Arial"/>
          <w:sz w:val="20"/>
          <w:szCs w:val="20"/>
        </w:rPr>
        <w:t>ων που έχουν επιβάλει οι ΗΠΑ στην παραγωγή και διακίνηση πετρελαίου της Βενεζουέλας.</w:t>
      </w:r>
    </w:p>
    <w:p w14:paraId="17CB88C8" w14:textId="1580BEA4" w:rsidR="004F6BCD" w:rsidRPr="003B796D" w:rsidRDefault="004F6BCD" w:rsidP="003B796D">
      <w:pPr>
        <w:spacing w:after="120"/>
        <w:rPr>
          <w:rFonts w:ascii="Arial" w:hAnsi="Arial" w:cs="Arial"/>
          <w:b/>
          <w:sz w:val="20"/>
          <w:szCs w:val="20"/>
        </w:rPr>
      </w:pPr>
      <w:r w:rsidRPr="003B796D">
        <w:rPr>
          <w:rFonts w:ascii="Arial" w:hAnsi="Arial" w:cs="Arial"/>
          <w:b/>
          <w:sz w:val="20"/>
          <w:szCs w:val="20"/>
        </w:rPr>
        <w:t>Κύρια λειτουργικά μεγέθη (2025):</w:t>
      </w:r>
    </w:p>
    <w:p w14:paraId="02AFED42" w14:textId="56F684DA" w:rsidR="003B796D" w:rsidRPr="003B796D" w:rsidRDefault="004F6BCD" w:rsidP="003B796D">
      <w:pPr>
        <w:pStyle w:val="ListParagraph"/>
        <w:numPr>
          <w:ilvl w:val="0"/>
          <w:numId w:val="32"/>
        </w:numPr>
        <w:spacing w:after="120"/>
        <w:ind w:left="450"/>
        <w:contextualSpacing w:val="0"/>
        <w:rPr>
          <w:rFonts w:ascii="Arial" w:hAnsi="Arial" w:cs="Arial"/>
          <w:sz w:val="20"/>
          <w:szCs w:val="20"/>
        </w:rPr>
      </w:pPr>
      <w:r w:rsidRPr="003B796D">
        <w:rPr>
          <w:rFonts w:ascii="Arial" w:hAnsi="Arial" w:cs="Arial"/>
          <w:sz w:val="20"/>
          <w:szCs w:val="20"/>
        </w:rPr>
        <w:t xml:space="preserve">Παραγωγή: </w:t>
      </w:r>
      <w:r w:rsidR="003B796D" w:rsidRPr="003B796D">
        <w:rPr>
          <w:rFonts w:ascii="Arial" w:hAnsi="Arial" w:cs="Arial"/>
          <w:sz w:val="20"/>
          <w:szCs w:val="20"/>
        </w:rPr>
        <w:t xml:space="preserve">συνολικά </w:t>
      </w:r>
      <w:r w:rsidRPr="003B796D">
        <w:rPr>
          <w:rFonts w:ascii="Arial" w:hAnsi="Arial" w:cs="Arial"/>
          <w:sz w:val="20"/>
          <w:szCs w:val="20"/>
        </w:rPr>
        <w:t xml:space="preserve">250.000 </w:t>
      </w:r>
      <w:r w:rsidR="003B796D" w:rsidRPr="003B796D">
        <w:rPr>
          <w:rFonts w:ascii="Arial" w:hAnsi="Arial" w:cs="Arial"/>
          <w:sz w:val="20"/>
          <w:szCs w:val="20"/>
        </w:rPr>
        <w:t xml:space="preserve">- </w:t>
      </w:r>
      <w:r w:rsidRPr="003B796D">
        <w:rPr>
          <w:rFonts w:ascii="Arial" w:hAnsi="Arial" w:cs="Arial"/>
          <w:sz w:val="20"/>
          <w:szCs w:val="20"/>
        </w:rPr>
        <w:t xml:space="preserve">300.000 </w:t>
      </w:r>
      <w:r w:rsidR="003B796D" w:rsidRPr="003B796D">
        <w:rPr>
          <w:rFonts w:ascii="Arial" w:hAnsi="Arial" w:cs="Arial"/>
          <w:sz w:val="20"/>
          <w:szCs w:val="20"/>
        </w:rPr>
        <w:t xml:space="preserve">βαρέλια ημερησίως </w:t>
      </w:r>
      <w:r w:rsidRPr="003B796D">
        <w:rPr>
          <w:rFonts w:ascii="Arial" w:hAnsi="Arial" w:cs="Arial"/>
          <w:sz w:val="20"/>
          <w:szCs w:val="20"/>
        </w:rPr>
        <w:t>(</w:t>
      </w:r>
      <w:r w:rsidRPr="003B796D">
        <w:rPr>
          <w:rFonts w:ascii="Arial" w:hAnsi="Arial" w:cs="Arial"/>
          <w:sz w:val="20"/>
          <w:szCs w:val="20"/>
          <w:lang w:val="en-US"/>
        </w:rPr>
        <w:t>bpd</w:t>
      </w:r>
      <w:r w:rsidRPr="003B796D">
        <w:rPr>
          <w:rFonts w:ascii="Arial" w:hAnsi="Arial" w:cs="Arial"/>
          <w:sz w:val="20"/>
          <w:szCs w:val="20"/>
        </w:rPr>
        <w:t>) μέσω</w:t>
      </w:r>
      <w:r w:rsidR="003B796D" w:rsidRPr="003B796D">
        <w:rPr>
          <w:rFonts w:ascii="Arial" w:hAnsi="Arial" w:cs="Arial"/>
          <w:sz w:val="20"/>
          <w:szCs w:val="20"/>
        </w:rPr>
        <w:t xml:space="preserve"> κοινοπραξιών στις οποίες συμμετέχει</w:t>
      </w:r>
      <w:r w:rsidRPr="003B796D">
        <w:rPr>
          <w:rFonts w:ascii="Arial" w:hAnsi="Arial" w:cs="Arial"/>
          <w:sz w:val="20"/>
          <w:szCs w:val="20"/>
        </w:rPr>
        <w:t>.</w:t>
      </w:r>
    </w:p>
    <w:p w14:paraId="3301AE17" w14:textId="1A53249A" w:rsidR="004F6BCD" w:rsidRPr="003B796D" w:rsidRDefault="003B796D" w:rsidP="003B796D">
      <w:pPr>
        <w:pStyle w:val="ListParagraph"/>
        <w:numPr>
          <w:ilvl w:val="0"/>
          <w:numId w:val="32"/>
        </w:numPr>
        <w:spacing w:after="120"/>
        <w:ind w:left="450"/>
        <w:contextualSpacing w:val="0"/>
        <w:rPr>
          <w:rFonts w:ascii="Arial" w:hAnsi="Arial" w:cs="Arial"/>
          <w:sz w:val="20"/>
          <w:szCs w:val="20"/>
        </w:rPr>
      </w:pPr>
      <w:r w:rsidRPr="003B796D">
        <w:rPr>
          <w:rFonts w:ascii="Arial" w:hAnsi="Arial" w:cs="Arial"/>
          <w:sz w:val="20"/>
          <w:szCs w:val="20"/>
        </w:rPr>
        <w:t xml:space="preserve">Η παραγωγή της </w:t>
      </w:r>
      <w:r w:rsidRPr="003B796D">
        <w:rPr>
          <w:rFonts w:ascii="Arial" w:hAnsi="Arial" w:cs="Arial"/>
          <w:sz w:val="20"/>
          <w:szCs w:val="20"/>
          <w:lang w:val="en-US"/>
        </w:rPr>
        <w:t>Chevron</w:t>
      </w:r>
      <w:r w:rsidRPr="003B796D">
        <w:rPr>
          <w:rFonts w:ascii="Arial" w:hAnsi="Arial" w:cs="Arial"/>
          <w:sz w:val="20"/>
          <w:szCs w:val="20"/>
        </w:rPr>
        <w:t xml:space="preserve"> αντιστοιχεί σε </w:t>
      </w:r>
      <w:r w:rsidR="004F6BCD" w:rsidRPr="003B796D">
        <w:rPr>
          <w:rFonts w:ascii="Arial" w:hAnsi="Arial" w:cs="Arial"/>
          <w:sz w:val="20"/>
          <w:szCs w:val="20"/>
        </w:rPr>
        <w:t xml:space="preserve">20-30% της συνολικής εθνικής παραγωγής της Βενεζουέλας, η οποία ανέρχεται σε ~1 εκατομμύριο </w:t>
      </w:r>
      <w:r w:rsidR="004F6BCD" w:rsidRPr="003B796D">
        <w:rPr>
          <w:rFonts w:ascii="Arial" w:hAnsi="Arial" w:cs="Arial"/>
          <w:sz w:val="20"/>
          <w:szCs w:val="20"/>
          <w:lang w:val="en-US"/>
        </w:rPr>
        <w:t>bpd</w:t>
      </w:r>
      <w:r w:rsidR="004F6BCD" w:rsidRPr="003B796D">
        <w:rPr>
          <w:rFonts w:ascii="Arial" w:hAnsi="Arial" w:cs="Arial"/>
          <w:sz w:val="20"/>
          <w:szCs w:val="20"/>
        </w:rPr>
        <w:t>.</w:t>
      </w:r>
    </w:p>
    <w:p w14:paraId="62807215" w14:textId="09787ABC" w:rsidR="004F6BCD" w:rsidRPr="003B796D" w:rsidRDefault="004F6BCD" w:rsidP="003B796D">
      <w:pPr>
        <w:pStyle w:val="ListParagraph"/>
        <w:numPr>
          <w:ilvl w:val="0"/>
          <w:numId w:val="32"/>
        </w:numPr>
        <w:spacing w:after="120"/>
        <w:ind w:left="450"/>
        <w:contextualSpacing w:val="0"/>
        <w:rPr>
          <w:rFonts w:ascii="Arial" w:hAnsi="Arial" w:cs="Arial"/>
          <w:sz w:val="20"/>
          <w:szCs w:val="20"/>
        </w:rPr>
      </w:pPr>
      <w:r w:rsidRPr="003B796D">
        <w:rPr>
          <w:rFonts w:ascii="Arial" w:hAnsi="Arial" w:cs="Arial"/>
          <w:sz w:val="20"/>
          <w:szCs w:val="20"/>
        </w:rPr>
        <w:t xml:space="preserve">Εξαγωγές προς τις ΗΠΑ: περίπου 120.000 </w:t>
      </w:r>
      <w:r w:rsidR="003B796D" w:rsidRPr="003B796D">
        <w:rPr>
          <w:rFonts w:ascii="Arial" w:hAnsi="Arial" w:cs="Arial"/>
          <w:sz w:val="20"/>
          <w:szCs w:val="20"/>
        </w:rPr>
        <w:t xml:space="preserve">- </w:t>
      </w:r>
      <w:r w:rsidR="002531A5">
        <w:rPr>
          <w:rFonts w:ascii="Arial" w:hAnsi="Arial" w:cs="Arial"/>
          <w:sz w:val="20"/>
          <w:szCs w:val="20"/>
        </w:rPr>
        <w:t>20</w:t>
      </w:r>
      <w:r w:rsidRPr="003B796D">
        <w:rPr>
          <w:rFonts w:ascii="Arial" w:hAnsi="Arial" w:cs="Arial"/>
          <w:sz w:val="20"/>
          <w:szCs w:val="20"/>
        </w:rPr>
        <w:t xml:space="preserve">0.000 </w:t>
      </w:r>
      <w:r w:rsidRPr="003B796D">
        <w:rPr>
          <w:rFonts w:ascii="Arial" w:hAnsi="Arial" w:cs="Arial"/>
          <w:sz w:val="20"/>
          <w:szCs w:val="20"/>
          <w:lang w:val="en-US"/>
        </w:rPr>
        <w:t>bpd</w:t>
      </w:r>
      <w:r w:rsidRPr="003B796D">
        <w:rPr>
          <w:rFonts w:ascii="Arial" w:hAnsi="Arial" w:cs="Arial"/>
          <w:sz w:val="20"/>
          <w:szCs w:val="20"/>
        </w:rPr>
        <w:t xml:space="preserve"> </w:t>
      </w:r>
      <w:proofErr w:type="spellStart"/>
      <w:r w:rsidRPr="003B796D">
        <w:rPr>
          <w:rFonts w:ascii="Arial" w:hAnsi="Arial" w:cs="Arial"/>
          <w:sz w:val="20"/>
          <w:szCs w:val="20"/>
        </w:rPr>
        <w:t>βαρέος</w:t>
      </w:r>
      <w:proofErr w:type="spellEnd"/>
      <w:r w:rsidRPr="003B796D">
        <w:rPr>
          <w:rFonts w:ascii="Arial" w:hAnsi="Arial" w:cs="Arial"/>
          <w:sz w:val="20"/>
          <w:szCs w:val="20"/>
        </w:rPr>
        <w:t xml:space="preserve"> αργού πετρελαίου σε διυλιστήρια των ακτών του Κόλπου </w:t>
      </w:r>
      <w:r w:rsidR="003B796D" w:rsidRPr="003B796D">
        <w:rPr>
          <w:rFonts w:ascii="Arial" w:hAnsi="Arial" w:cs="Arial"/>
          <w:sz w:val="20"/>
          <w:szCs w:val="20"/>
        </w:rPr>
        <w:t>του Μεξικό / ΗΠΑ</w:t>
      </w:r>
      <w:r w:rsidRPr="003B796D">
        <w:rPr>
          <w:rFonts w:ascii="Arial" w:hAnsi="Arial" w:cs="Arial"/>
          <w:sz w:val="20"/>
          <w:szCs w:val="20"/>
        </w:rPr>
        <w:t>.</w:t>
      </w:r>
    </w:p>
    <w:p w14:paraId="76BF3064" w14:textId="0503D933" w:rsidR="004F6BCD" w:rsidRPr="003B796D" w:rsidRDefault="003B796D" w:rsidP="003B796D">
      <w:pPr>
        <w:pStyle w:val="ListParagraph"/>
        <w:numPr>
          <w:ilvl w:val="0"/>
          <w:numId w:val="32"/>
        </w:numPr>
        <w:spacing w:after="200"/>
        <w:ind w:left="450"/>
        <w:rPr>
          <w:rFonts w:ascii="Arial" w:hAnsi="Arial" w:cs="Arial"/>
          <w:sz w:val="20"/>
          <w:szCs w:val="20"/>
        </w:rPr>
      </w:pPr>
      <w:r w:rsidRPr="003B796D">
        <w:rPr>
          <w:rFonts w:ascii="Arial" w:hAnsi="Arial" w:cs="Arial"/>
          <w:sz w:val="20"/>
          <w:szCs w:val="20"/>
        </w:rPr>
        <w:t>Α</w:t>
      </w:r>
      <w:r w:rsidR="004F6BCD" w:rsidRPr="003B796D">
        <w:rPr>
          <w:rFonts w:ascii="Arial" w:hAnsi="Arial" w:cs="Arial"/>
          <w:sz w:val="20"/>
          <w:szCs w:val="20"/>
        </w:rPr>
        <w:t xml:space="preserve">πασχολεί περίπου </w:t>
      </w:r>
      <w:r w:rsidRPr="003B796D">
        <w:rPr>
          <w:rFonts w:ascii="Arial" w:hAnsi="Arial" w:cs="Arial"/>
          <w:sz w:val="20"/>
          <w:szCs w:val="20"/>
        </w:rPr>
        <w:t xml:space="preserve">τα </w:t>
      </w:r>
      <w:r w:rsidR="004F6BCD" w:rsidRPr="003B796D">
        <w:rPr>
          <w:rFonts w:ascii="Arial" w:hAnsi="Arial" w:cs="Arial"/>
          <w:sz w:val="20"/>
          <w:szCs w:val="20"/>
        </w:rPr>
        <w:t>3.000 άτομα στη</w:t>
      </w:r>
      <w:r w:rsidRPr="003B796D">
        <w:rPr>
          <w:rFonts w:ascii="Arial" w:hAnsi="Arial" w:cs="Arial"/>
          <w:sz w:val="20"/>
          <w:szCs w:val="20"/>
        </w:rPr>
        <w:t>ν Βενεζουέλα</w:t>
      </w:r>
    </w:p>
    <w:p w14:paraId="4F505BEB" w14:textId="0F86716B" w:rsidR="003B796D" w:rsidRPr="003B796D" w:rsidRDefault="003B796D" w:rsidP="003B796D">
      <w:pPr>
        <w:spacing w:after="120"/>
        <w:rPr>
          <w:rFonts w:ascii="Arial" w:hAnsi="Arial" w:cs="Arial"/>
          <w:b/>
          <w:sz w:val="20"/>
          <w:szCs w:val="20"/>
        </w:rPr>
      </w:pPr>
      <w:r>
        <w:rPr>
          <w:rFonts w:ascii="Arial" w:hAnsi="Arial" w:cs="Arial"/>
          <w:b/>
          <w:sz w:val="20"/>
          <w:szCs w:val="20"/>
        </w:rPr>
        <w:t>Κύρια περιουσιακά στοιχεία</w:t>
      </w:r>
      <w:r w:rsidRPr="003B796D">
        <w:rPr>
          <w:rFonts w:ascii="Arial" w:hAnsi="Arial" w:cs="Arial"/>
          <w:b/>
          <w:sz w:val="20"/>
          <w:szCs w:val="20"/>
        </w:rPr>
        <w:t xml:space="preserve"> λειτουργίας:</w:t>
      </w:r>
    </w:p>
    <w:p w14:paraId="0190C877" w14:textId="5A780C08" w:rsidR="004F6BCD" w:rsidRPr="00F323E8" w:rsidRDefault="003B796D" w:rsidP="00F323E8">
      <w:pPr>
        <w:spacing w:after="120"/>
        <w:rPr>
          <w:rFonts w:ascii="Arial" w:hAnsi="Arial" w:cs="Arial"/>
          <w:sz w:val="20"/>
          <w:szCs w:val="20"/>
        </w:rPr>
      </w:pPr>
      <w:r w:rsidRPr="00F323E8">
        <w:rPr>
          <w:rFonts w:ascii="Arial" w:hAnsi="Arial" w:cs="Arial"/>
          <w:sz w:val="20"/>
          <w:szCs w:val="20"/>
        </w:rPr>
        <w:t xml:space="preserve">Κατέχει μερίδια </w:t>
      </w:r>
      <w:r w:rsidR="004F6BCD" w:rsidRPr="00F323E8">
        <w:rPr>
          <w:rFonts w:ascii="Arial" w:hAnsi="Arial" w:cs="Arial"/>
          <w:sz w:val="20"/>
          <w:szCs w:val="20"/>
        </w:rPr>
        <w:t xml:space="preserve">25% </w:t>
      </w:r>
      <w:r w:rsidRPr="00F323E8">
        <w:rPr>
          <w:rFonts w:ascii="Arial" w:hAnsi="Arial" w:cs="Arial"/>
          <w:sz w:val="20"/>
          <w:szCs w:val="20"/>
        </w:rPr>
        <w:t xml:space="preserve">έως </w:t>
      </w:r>
      <w:r w:rsidR="004F6BCD" w:rsidRPr="00F323E8">
        <w:rPr>
          <w:rFonts w:ascii="Arial" w:hAnsi="Arial" w:cs="Arial"/>
          <w:sz w:val="20"/>
          <w:szCs w:val="20"/>
        </w:rPr>
        <w:t>60%</w:t>
      </w:r>
      <w:r w:rsidRPr="00F323E8">
        <w:rPr>
          <w:rFonts w:ascii="Arial" w:hAnsi="Arial" w:cs="Arial"/>
          <w:sz w:val="20"/>
          <w:szCs w:val="20"/>
        </w:rPr>
        <w:t xml:space="preserve"> σε πέντε κύριες επενδύσεις</w:t>
      </w:r>
      <w:r w:rsidR="00F323E8">
        <w:rPr>
          <w:rFonts w:ascii="Arial" w:hAnsi="Arial" w:cs="Arial"/>
          <w:sz w:val="20"/>
          <w:szCs w:val="20"/>
        </w:rPr>
        <w:t>. Σ</w:t>
      </w:r>
      <w:r w:rsidR="00F323E8" w:rsidRPr="00F323E8">
        <w:rPr>
          <w:rFonts w:ascii="Arial" w:hAnsi="Arial" w:cs="Arial"/>
          <w:sz w:val="20"/>
          <w:szCs w:val="20"/>
        </w:rPr>
        <w:t>ημαντικότερες είναι οι εξής</w:t>
      </w:r>
      <w:r w:rsidR="004F6BCD" w:rsidRPr="00F323E8">
        <w:rPr>
          <w:rFonts w:ascii="Arial" w:hAnsi="Arial" w:cs="Arial"/>
          <w:sz w:val="20"/>
          <w:szCs w:val="20"/>
        </w:rPr>
        <w:t>: </w:t>
      </w:r>
    </w:p>
    <w:p w14:paraId="2A67210C" w14:textId="41F4DF74" w:rsidR="004F6BCD" w:rsidRPr="004F6BCD" w:rsidRDefault="004F6BCD" w:rsidP="00F323E8">
      <w:pPr>
        <w:pStyle w:val="ListParagraph"/>
        <w:numPr>
          <w:ilvl w:val="0"/>
          <w:numId w:val="32"/>
        </w:numPr>
        <w:spacing w:after="120"/>
        <w:ind w:left="450"/>
        <w:contextualSpacing w:val="0"/>
        <w:rPr>
          <w:rFonts w:ascii="Arial" w:hAnsi="Arial" w:cs="Arial"/>
          <w:sz w:val="20"/>
          <w:szCs w:val="20"/>
        </w:rPr>
      </w:pPr>
      <w:proofErr w:type="spellStart"/>
      <w:r w:rsidRPr="00F323E8">
        <w:rPr>
          <w:rFonts w:ascii="Arial" w:hAnsi="Arial" w:cs="Arial"/>
          <w:sz w:val="20"/>
          <w:szCs w:val="20"/>
        </w:rPr>
        <w:t>Petropiar</w:t>
      </w:r>
      <w:proofErr w:type="spellEnd"/>
      <w:r w:rsidRPr="00F323E8">
        <w:rPr>
          <w:rFonts w:ascii="Arial" w:hAnsi="Arial" w:cs="Arial"/>
          <w:sz w:val="20"/>
          <w:szCs w:val="20"/>
        </w:rPr>
        <w:t>: </w:t>
      </w:r>
      <w:r w:rsidR="003B796D" w:rsidRPr="00F323E8">
        <w:rPr>
          <w:rFonts w:ascii="Arial" w:hAnsi="Arial" w:cs="Arial"/>
          <w:sz w:val="20"/>
          <w:szCs w:val="20"/>
        </w:rPr>
        <w:t xml:space="preserve"> Έργο στην περιοχή </w:t>
      </w:r>
      <w:proofErr w:type="spellStart"/>
      <w:r w:rsidR="00F323E8" w:rsidRPr="00F323E8">
        <w:rPr>
          <w:rFonts w:ascii="Arial" w:hAnsi="Arial" w:cs="Arial"/>
          <w:sz w:val="20"/>
          <w:szCs w:val="20"/>
        </w:rPr>
        <w:t>Orinoko</w:t>
      </w:r>
      <w:proofErr w:type="spellEnd"/>
      <w:r w:rsidR="003B796D" w:rsidRPr="00F323E8">
        <w:rPr>
          <w:rFonts w:ascii="Arial" w:hAnsi="Arial" w:cs="Arial"/>
          <w:sz w:val="20"/>
          <w:szCs w:val="20"/>
        </w:rPr>
        <w:t xml:space="preserve"> για την αναβάθμιση του εξαιρετικά βαρέως αργού πετρελαίου σε ελαφρύτερες, εξαγώγιμες ποιότητες.</w:t>
      </w:r>
    </w:p>
    <w:p w14:paraId="516B9C75" w14:textId="416CF3E9" w:rsidR="004F6BCD" w:rsidRDefault="004F6BCD" w:rsidP="00C43544">
      <w:pPr>
        <w:pStyle w:val="ListParagraph"/>
        <w:numPr>
          <w:ilvl w:val="0"/>
          <w:numId w:val="32"/>
        </w:numPr>
        <w:spacing w:after="120"/>
        <w:ind w:left="446"/>
        <w:contextualSpacing w:val="0"/>
        <w:rPr>
          <w:rFonts w:ascii="Arial" w:hAnsi="Arial" w:cs="Arial"/>
          <w:sz w:val="20"/>
          <w:szCs w:val="20"/>
        </w:rPr>
      </w:pPr>
      <w:proofErr w:type="spellStart"/>
      <w:r w:rsidRPr="00F323E8">
        <w:rPr>
          <w:rFonts w:ascii="Arial" w:hAnsi="Arial" w:cs="Arial"/>
          <w:sz w:val="20"/>
          <w:szCs w:val="20"/>
        </w:rPr>
        <w:t>Petroboscan</w:t>
      </w:r>
      <w:proofErr w:type="spellEnd"/>
      <w:r w:rsidRPr="00F323E8">
        <w:rPr>
          <w:rFonts w:ascii="Arial" w:hAnsi="Arial" w:cs="Arial"/>
          <w:sz w:val="20"/>
          <w:szCs w:val="20"/>
        </w:rPr>
        <w:t>: </w:t>
      </w:r>
      <w:r w:rsidR="00F323E8" w:rsidRPr="00F323E8">
        <w:rPr>
          <w:rFonts w:ascii="Arial" w:hAnsi="Arial" w:cs="Arial"/>
          <w:sz w:val="20"/>
          <w:szCs w:val="20"/>
        </w:rPr>
        <w:t xml:space="preserve">Χερσαίο έργο στην Πολιτεία Zulia, όπου η Chevron ανακάλυψε το κοίτασμα </w:t>
      </w:r>
      <w:proofErr w:type="spellStart"/>
      <w:r w:rsidR="00F323E8" w:rsidRPr="00F323E8">
        <w:rPr>
          <w:rFonts w:ascii="Arial" w:hAnsi="Arial" w:cs="Arial"/>
          <w:sz w:val="20"/>
          <w:szCs w:val="20"/>
        </w:rPr>
        <w:t>Boscan</w:t>
      </w:r>
      <w:proofErr w:type="spellEnd"/>
      <w:r w:rsidR="00F323E8" w:rsidRPr="00F323E8">
        <w:rPr>
          <w:rFonts w:ascii="Arial" w:hAnsi="Arial" w:cs="Arial"/>
          <w:sz w:val="20"/>
          <w:szCs w:val="20"/>
        </w:rPr>
        <w:t xml:space="preserve"> το 1946.</w:t>
      </w:r>
    </w:p>
    <w:p w14:paraId="32B86097" w14:textId="77777777" w:rsidR="00C43544" w:rsidRPr="00C43544" w:rsidRDefault="00C43544" w:rsidP="00C43544">
      <w:pPr>
        <w:pStyle w:val="ListParagraph"/>
        <w:numPr>
          <w:ilvl w:val="0"/>
          <w:numId w:val="32"/>
        </w:numPr>
        <w:spacing w:after="120"/>
        <w:ind w:left="446"/>
        <w:contextualSpacing w:val="0"/>
        <w:rPr>
          <w:rFonts w:ascii="Arial" w:hAnsi="Arial" w:cs="Arial"/>
          <w:sz w:val="20"/>
          <w:szCs w:val="20"/>
        </w:rPr>
      </w:pPr>
      <w:r w:rsidRPr="00C43544">
        <w:rPr>
          <w:rFonts w:ascii="Arial" w:hAnsi="Arial" w:cs="Arial"/>
          <w:sz w:val="20"/>
          <w:szCs w:val="20"/>
        </w:rPr>
        <w:t xml:space="preserve">Επίσης, συμμετέχει στα έργα </w:t>
      </w:r>
      <w:proofErr w:type="spellStart"/>
      <w:r w:rsidRPr="00C43544">
        <w:rPr>
          <w:rFonts w:ascii="Arial" w:hAnsi="Arial" w:cs="Arial"/>
          <w:sz w:val="20"/>
          <w:szCs w:val="20"/>
          <w:lang w:val="en-US"/>
        </w:rPr>
        <w:t>Petroindependencia</w:t>
      </w:r>
      <w:proofErr w:type="spellEnd"/>
      <w:r w:rsidRPr="00C43544">
        <w:rPr>
          <w:rFonts w:ascii="Arial" w:hAnsi="Arial" w:cs="Arial"/>
          <w:sz w:val="20"/>
          <w:szCs w:val="20"/>
        </w:rPr>
        <w:t xml:space="preserve"> και </w:t>
      </w:r>
      <w:proofErr w:type="spellStart"/>
      <w:r w:rsidRPr="00C43544">
        <w:rPr>
          <w:rFonts w:ascii="Arial" w:hAnsi="Arial" w:cs="Arial"/>
          <w:sz w:val="20"/>
          <w:szCs w:val="20"/>
          <w:lang w:val="en-US"/>
        </w:rPr>
        <w:t>Mixta</w:t>
      </w:r>
      <w:proofErr w:type="spellEnd"/>
    </w:p>
    <w:p w14:paraId="0B903639" w14:textId="7D455903" w:rsidR="00C43544" w:rsidRPr="00C43544" w:rsidRDefault="00C43544" w:rsidP="00C43544">
      <w:pPr>
        <w:pStyle w:val="ListParagraph"/>
        <w:numPr>
          <w:ilvl w:val="0"/>
          <w:numId w:val="32"/>
        </w:numPr>
        <w:spacing w:after="200"/>
        <w:ind w:left="450"/>
        <w:rPr>
          <w:rFonts w:ascii="Arial" w:hAnsi="Arial" w:cs="Arial"/>
          <w:sz w:val="20"/>
          <w:szCs w:val="20"/>
        </w:rPr>
      </w:pPr>
      <w:r w:rsidRPr="00C43544">
        <w:rPr>
          <w:rFonts w:ascii="Arial" w:hAnsi="Arial" w:cs="Arial"/>
          <w:sz w:val="20"/>
          <w:szCs w:val="20"/>
        </w:rPr>
        <w:t xml:space="preserve">Από τα μέσα της δεκαετίας του 2010, η PDVSA συχνά δεν καταβάλλει στην </w:t>
      </w:r>
      <w:proofErr w:type="spellStart"/>
      <w:r w:rsidRPr="00C43544">
        <w:rPr>
          <w:rFonts w:ascii="Arial" w:hAnsi="Arial" w:cs="Arial"/>
          <w:sz w:val="20"/>
          <w:szCs w:val="20"/>
        </w:rPr>
        <w:t>Chevron</w:t>
      </w:r>
      <w:proofErr w:type="spellEnd"/>
      <w:r w:rsidRPr="00C43544">
        <w:rPr>
          <w:rFonts w:ascii="Arial" w:hAnsi="Arial" w:cs="Arial"/>
          <w:sz w:val="20"/>
          <w:szCs w:val="20"/>
        </w:rPr>
        <w:t xml:space="preserve"> το μερίδιό της από τα κέρδη αυτών των δραστηριοτήτων.</w:t>
      </w:r>
    </w:p>
    <w:p w14:paraId="49AAA1E5" w14:textId="6B31FF4E" w:rsidR="00C43544" w:rsidRPr="00C43544" w:rsidRDefault="00C43544" w:rsidP="00C43544">
      <w:pPr>
        <w:spacing w:after="120"/>
        <w:rPr>
          <w:rFonts w:ascii="Arial" w:hAnsi="Arial" w:cs="Arial"/>
          <w:b/>
          <w:sz w:val="20"/>
          <w:szCs w:val="20"/>
        </w:rPr>
      </w:pPr>
      <w:r w:rsidRPr="00C43544">
        <w:rPr>
          <w:rFonts w:ascii="Arial" w:hAnsi="Arial" w:cs="Arial"/>
          <w:b/>
          <w:sz w:val="20"/>
          <w:szCs w:val="20"/>
        </w:rPr>
        <w:t xml:space="preserve">Νομικές αξιώσεις και </w:t>
      </w:r>
      <w:proofErr w:type="spellStart"/>
      <w:r w:rsidRPr="00C43544">
        <w:rPr>
          <w:rFonts w:ascii="Arial" w:hAnsi="Arial" w:cs="Arial"/>
          <w:b/>
          <w:sz w:val="20"/>
          <w:szCs w:val="20"/>
        </w:rPr>
        <w:t>μοντέλλο</w:t>
      </w:r>
      <w:proofErr w:type="spellEnd"/>
      <w:r w:rsidRPr="00C43544">
        <w:rPr>
          <w:rFonts w:ascii="Arial" w:hAnsi="Arial" w:cs="Arial"/>
          <w:b/>
          <w:sz w:val="20"/>
          <w:szCs w:val="20"/>
        </w:rPr>
        <w:t xml:space="preserve"> λειτουργίας</w:t>
      </w:r>
    </w:p>
    <w:p w14:paraId="173985E9" w14:textId="77777777" w:rsidR="00C43544" w:rsidRDefault="00C43544" w:rsidP="00C56596">
      <w:pPr>
        <w:spacing w:after="200"/>
        <w:jc w:val="both"/>
        <w:rPr>
          <w:rFonts w:ascii="Arial" w:hAnsi="Arial" w:cs="Arial"/>
          <w:sz w:val="20"/>
          <w:szCs w:val="20"/>
        </w:rPr>
      </w:pPr>
      <w:r w:rsidRPr="00243E10">
        <w:rPr>
          <w:rFonts w:ascii="Arial" w:hAnsi="Arial" w:cs="Arial"/>
          <w:sz w:val="20"/>
          <w:szCs w:val="20"/>
        </w:rPr>
        <w:t xml:space="preserve">Οι οικονομικές αξιώσεις της </w:t>
      </w:r>
      <w:proofErr w:type="spellStart"/>
      <w:r w:rsidRPr="00243E10">
        <w:rPr>
          <w:rFonts w:ascii="Arial" w:hAnsi="Arial" w:cs="Arial"/>
          <w:sz w:val="20"/>
          <w:szCs w:val="20"/>
        </w:rPr>
        <w:t>Chevron</w:t>
      </w:r>
      <w:proofErr w:type="spellEnd"/>
      <w:r w:rsidRPr="00243E10">
        <w:rPr>
          <w:rFonts w:ascii="Arial" w:hAnsi="Arial" w:cs="Arial"/>
          <w:sz w:val="20"/>
          <w:szCs w:val="20"/>
        </w:rPr>
        <w:t xml:space="preserve"> κατά της κυβέρνησης της Βενεζουέλας είναι διαφορετικές από εκείνες των </w:t>
      </w:r>
      <w:proofErr w:type="spellStart"/>
      <w:r w:rsidRPr="00243E10">
        <w:rPr>
          <w:rFonts w:ascii="Arial" w:hAnsi="Arial" w:cs="Arial"/>
          <w:sz w:val="20"/>
          <w:szCs w:val="20"/>
        </w:rPr>
        <w:t>ExxonMobil</w:t>
      </w:r>
      <w:proofErr w:type="spellEnd"/>
      <w:r w:rsidRPr="00243E10">
        <w:rPr>
          <w:rFonts w:ascii="Arial" w:hAnsi="Arial" w:cs="Arial"/>
          <w:sz w:val="20"/>
          <w:szCs w:val="20"/>
        </w:rPr>
        <w:t xml:space="preserve"> και </w:t>
      </w:r>
      <w:proofErr w:type="spellStart"/>
      <w:r w:rsidRPr="00243E10">
        <w:rPr>
          <w:rFonts w:ascii="Arial" w:hAnsi="Arial" w:cs="Arial"/>
          <w:sz w:val="20"/>
          <w:szCs w:val="20"/>
        </w:rPr>
        <w:t>ConocoPhillips</w:t>
      </w:r>
      <w:proofErr w:type="spellEnd"/>
      <w:r w:rsidRPr="00243E10">
        <w:rPr>
          <w:rFonts w:ascii="Arial" w:hAnsi="Arial" w:cs="Arial"/>
          <w:sz w:val="20"/>
          <w:szCs w:val="20"/>
        </w:rPr>
        <w:t xml:space="preserve">. Ενώ οι τελευταίες προσέφυγαν  σε διεθνή διαιτησία, η </w:t>
      </w:r>
      <w:proofErr w:type="spellStart"/>
      <w:r w:rsidRPr="00243E10">
        <w:rPr>
          <w:rFonts w:ascii="Arial" w:hAnsi="Arial" w:cs="Arial"/>
          <w:sz w:val="20"/>
          <w:szCs w:val="20"/>
        </w:rPr>
        <w:t>Chevron</w:t>
      </w:r>
      <w:proofErr w:type="spellEnd"/>
      <w:r w:rsidRPr="00243E10">
        <w:rPr>
          <w:rFonts w:ascii="Arial" w:hAnsi="Arial" w:cs="Arial"/>
          <w:sz w:val="20"/>
          <w:szCs w:val="20"/>
        </w:rPr>
        <w:t xml:space="preserve"> επέλεξε να παραμείνει στη</w:t>
      </w:r>
      <w:r>
        <w:rPr>
          <w:rFonts w:ascii="Arial" w:hAnsi="Arial" w:cs="Arial"/>
          <w:sz w:val="20"/>
          <w:szCs w:val="20"/>
        </w:rPr>
        <w:t>ν</w:t>
      </w:r>
      <w:r w:rsidRPr="00243E10">
        <w:rPr>
          <w:rFonts w:ascii="Arial" w:hAnsi="Arial" w:cs="Arial"/>
          <w:sz w:val="20"/>
          <w:szCs w:val="20"/>
        </w:rPr>
        <w:t xml:space="preserve"> χώρα, οδηγώντας σε μια διαφορετική δομή χρέους.</w:t>
      </w:r>
    </w:p>
    <w:p w14:paraId="3EF27E3F" w14:textId="2D8C0E79" w:rsidR="00C43544" w:rsidRDefault="00C43544" w:rsidP="00C56596">
      <w:pPr>
        <w:spacing w:after="200"/>
        <w:jc w:val="both"/>
        <w:rPr>
          <w:rFonts w:ascii="Arial" w:hAnsi="Arial" w:cs="Arial"/>
          <w:sz w:val="20"/>
          <w:szCs w:val="20"/>
        </w:rPr>
      </w:pPr>
      <w:r w:rsidRPr="00C43544">
        <w:rPr>
          <w:rFonts w:ascii="Arial" w:hAnsi="Arial" w:cs="Arial"/>
          <w:sz w:val="20"/>
          <w:szCs w:val="20"/>
        </w:rPr>
        <w:t>Οι δραστηριότητές της διέπονται από ένα πλαίσιο ανταλλαγής «χρέους με πετρέλαιο» ("debt-for-oil" swap). Η Chevron έχει οικονομικές απαιτήσεις έναντι της κρατικής PDVSA της Βενεζουέλας ύψους περ. $3 δισ. λόγω μη καταβληθέντων μερισμάτων και λοιπών εσόδων. Η Chevron διεκδικεί, επίσης, κεφαλαιουχικές επενδύσεις και λειτουργικά έξοδα που πραγματοποίησε για να διατηρήσει την παραγωγή καθώς η οικονομία της Βενεζουέλας κατέρρεε.</w:t>
      </w:r>
    </w:p>
    <w:p w14:paraId="7113F133" w14:textId="72D57E71" w:rsidR="00C43544" w:rsidRPr="00C43544" w:rsidRDefault="00C43544" w:rsidP="00C56596">
      <w:pPr>
        <w:spacing w:after="240"/>
        <w:jc w:val="both"/>
        <w:rPr>
          <w:rFonts w:ascii="Arial" w:hAnsi="Arial" w:cs="Arial"/>
          <w:sz w:val="20"/>
          <w:szCs w:val="20"/>
        </w:rPr>
      </w:pPr>
      <w:r>
        <w:rPr>
          <w:rFonts w:ascii="Arial" w:hAnsi="Arial" w:cs="Arial"/>
          <w:sz w:val="20"/>
          <w:szCs w:val="20"/>
        </w:rPr>
        <w:t>Αρχικά</w:t>
      </w:r>
      <w:r w:rsidR="002531A5">
        <w:rPr>
          <w:rFonts w:ascii="Arial" w:hAnsi="Arial" w:cs="Arial"/>
          <w:sz w:val="20"/>
          <w:szCs w:val="20"/>
        </w:rPr>
        <w:t>,</w:t>
      </w:r>
      <w:r>
        <w:rPr>
          <w:rFonts w:ascii="Arial" w:hAnsi="Arial" w:cs="Arial"/>
          <w:sz w:val="20"/>
          <w:szCs w:val="20"/>
        </w:rPr>
        <w:t xml:space="preserve"> επί κυβέρνησης </w:t>
      </w:r>
      <w:r>
        <w:rPr>
          <w:rFonts w:ascii="Arial" w:hAnsi="Arial" w:cs="Arial"/>
          <w:sz w:val="20"/>
          <w:szCs w:val="20"/>
          <w:lang w:val="en-US"/>
        </w:rPr>
        <w:t>Biden</w:t>
      </w:r>
      <w:r w:rsidRPr="00C43544">
        <w:rPr>
          <w:rFonts w:ascii="Arial" w:hAnsi="Arial" w:cs="Arial"/>
          <w:sz w:val="20"/>
          <w:szCs w:val="20"/>
        </w:rPr>
        <w:t xml:space="preserve"> </w:t>
      </w:r>
      <w:r>
        <w:rPr>
          <w:rFonts w:ascii="Arial" w:hAnsi="Arial" w:cs="Arial"/>
          <w:sz w:val="20"/>
          <w:szCs w:val="20"/>
        </w:rPr>
        <w:t xml:space="preserve">αλλά και αργότερα επί </w:t>
      </w:r>
      <w:r>
        <w:rPr>
          <w:rFonts w:ascii="Arial" w:hAnsi="Arial" w:cs="Arial"/>
          <w:sz w:val="20"/>
          <w:szCs w:val="20"/>
          <w:lang w:val="en-US"/>
        </w:rPr>
        <w:t>Trump</w:t>
      </w:r>
      <w:r w:rsidRPr="00C43544">
        <w:rPr>
          <w:rFonts w:ascii="Arial" w:hAnsi="Arial" w:cs="Arial"/>
          <w:sz w:val="20"/>
          <w:szCs w:val="20"/>
        </w:rPr>
        <w:t xml:space="preserve">, </w:t>
      </w:r>
      <w:r>
        <w:rPr>
          <w:rFonts w:ascii="Arial" w:hAnsi="Arial" w:cs="Arial"/>
          <w:sz w:val="20"/>
          <w:szCs w:val="20"/>
        </w:rPr>
        <w:t xml:space="preserve">η </w:t>
      </w:r>
      <w:r>
        <w:rPr>
          <w:rFonts w:ascii="Arial" w:hAnsi="Arial" w:cs="Arial"/>
          <w:sz w:val="20"/>
          <w:szCs w:val="20"/>
          <w:lang w:val="en-US"/>
        </w:rPr>
        <w:t>Chevron</w:t>
      </w:r>
      <w:r w:rsidRPr="00C43544">
        <w:rPr>
          <w:rFonts w:ascii="Arial" w:hAnsi="Arial" w:cs="Arial"/>
          <w:sz w:val="20"/>
          <w:szCs w:val="20"/>
        </w:rPr>
        <w:t xml:space="preserve"> </w:t>
      </w:r>
      <w:r>
        <w:rPr>
          <w:rFonts w:ascii="Arial" w:hAnsi="Arial" w:cs="Arial"/>
          <w:sz w:val="20"/>
          <w:szCs w:val="20"/>
        </w:rPr>
        <w:t xml:space="preserve">εξασφάλισε ειδικές άδειες από </w:t>
      </w:r>
      <w:r w:rsidRPr="00C43544">
        <w:rPr>
          <w:rFonts w:ascii="Arial" w:hAnsi="Arial" w:cs="Arial"/>
          <w:sz w:val="20"/>
          <w:szCs w:val="20"/>
        </w:rPr>
        <w:t xml:space="preserve">το Υπουργείο Οικονομικών των ΗΠΑ (Department of </w:t>
      </w:r>
      <w:proofErr w:type="spellStart"/>
      <w:r w:rsidRPr="00C43544">
        <w:rPr>
          <w:rFonts w:ascii="Arial" w:hAnsi="Arial" w:cs="Arial"/>
          <w:sz w:val="20"/>
          <w:szCs w:val="20"/>
        </w:rPr>
        <w:t>Treasury</w:t>
      </w:r>
      <w:proofErr w:type="spellEnd"/>
      <w:r w:rsidRPr="00C43544">
        <w:rPr>
          <w:rFonts w:ascii="Arial" w:hAnsi="Arial" w:cs="Arial"/>
          <w:sz w:val="20"/>
          <w:szCs w:val="20"/>
        </w:rPr>
        <w:t xml:space="preserve">) </w:t>
      </w:r>
      <w:r>
        <w:rPr>
          <w:rFonts w:ascii="Arial" w:hAnsi="Arial" w:cs="Arial"/>
          <w:sz w:val="20"/>
          <w:szCs w:val="20"/>
        </w:rPr>
        <w:t>που της επιτρέπουν να παραγάγει αργό πετρέλαιο προς εξαγωγή, κυρίως στις ΗΠΑ.</w:t>
      </w:r>
    </w:p>
    <w:p w14:paraId="6DF81570" w14:textId="615B66D1" w:rsidR="00C43544" w:rsidRDefault="00C43544" w:rsidP="00F323E8">
      <w:pPr>
        <w:spacing w:after="120"/>
        <w:rPr>
          <w:rFonts w:ascii="Arial" w:hAnsi="Arial" w:cs="Arial"/>
          <w:sz w:val="20"/>
          <w:szCs w:val="20"/>
        </w:rPr>
      </w:pPr>
    </w:p>
    <w:p w14:paraId="13B7F321" w14:textId="77777777" w:rsidR="00243E10" w:rsidRPr="00243E10" w:rsidRDefault="00243E10" w:rsidP="00243E10">
      <w:pPr>
        <w:spacing w:after="120"/>
        <w:jc w:val="both"/>
        <w:rPr>
          <w:rFonts w:ascii="Arial" w:hAnsi="Arial" w:cs="Arial"/>
          <w:b/>
          <w:sz w:val="20"/>
          <w:szCs w:val="20"/>
        </w:rPr>
      </w:pPr>
    </w:p>
    <w:p w14:paraId="4A3C30C1" w14:textId="77777777" w:rsidR="00243E10" w:rsidRPr="00243E10" w:rsidRDefault="00243E10" w:rsidP="00243E10">
      <w:pPr>
        <w:spacing w:after="120"/>
        <w:jc w:val="both"/>
        <w:rPr>
          <w:rFonts w:ascii="Arial" w:hAnsi="Arial" w:cs="Arial"/>
          <w:b/>
          <w:sz w:val="20"/>
          <w:szCs w:val="20"/>
        </w:rPr>
      </w:pPr>
    </w:p>
    <w:p w14:paraId="03F8BF1D" w14:textId="78C87A8C" w:rsidR="00243E10" w:rsidRPr="00243E10" w:rsidRDefault="00243E10" w:rsidP="003B796D">
      <w:pPr>
        <w:spacing w:after="200"/>
        <w:rPr>
          <w:rFonts w:ascii="Arial" w:hAnsi="Arial" w:cs="Arial"/>
          <w:sz w:val="20"/>
          <w:szCs w:val="20"/>
        </w:rPr>
      </w:pPr>
    </w:p>
    <w:p w14:paraId="365CA85E" w14:textId="7BBAB6FF" w:rsidR="00134591" w:rsidRPr="00134591" w:rsidRDefault="00C56596" w:rsidP="00C56596">
      <w:pPr>
        <w:spacing w:after="360"/>
        <w:ind w:hanging="270"/>
        <w:rPr>
          <w:rFonts w:ascii="Arial" w:hAnsi="Arial" w:cs="Arial"/>
          <w:b/>
          <w:sz w:val="20"/>
          <w:szCs w:val="20"/>
        </w:rPr>
      </w:pPr>
      <w:r>
        <w:rPr>
          <w:rFonts w:ascii="Arial" w:hAnsi="Arial" w:cs="Arial"/>
          <w:b/>
          <w:sz w:val="20"/>
          <w:szCs w:val="20"/>
        </w:rPr>
        <w:t>Γ</w:t>
      </w:r>
      <w:r w:rsidR="00134591" w:rsidRPr="00134591">
        <w:rPr>
          <w:rFonts w:ascii="Arial" w:hAnsi="Arial" w:cs="Arial"/>
          <w:b/>
          <w:sz w:val="20"/>
          <w:szCs w:val="20"/>
        </w:rPr>
        <w:t xml:space="preserve">. </w:t>
      </w:r>
      <w:r>
        <w:rPr>
          <w:rFonts w:ascii="Arial" w:hAnsi="Arial" w:cs="Arial"/>
          <w:b/>
          <w:sz w:val="20"/>
          <w:szCs w:val="20"/>
        </w:rPr>
        <w:t xml:space="preserve"> </w:t>
      </w:r>
      <w:r w:rsidR="00134591" w:rsidRPr="00134591">
        <w:rPr>
          <w:rFonts w:ascii="Arial" w:hAnsi="Arial" w:cs="Arial"/>
          <w:b/>
          <w:sz w:val="20"/>
          <w:szCs w:val="20"/>
        </w:rPr>
        <w:t>Παγκόσμια αποθέματα πετρελαίου</w:t>
      </w:r>
    </w:p>
    <w:p w14:paraId="44E6014A" w14:textId="6FEE65A8" w:rsidR="00134591" w:rsidRDefault="00134591" w:rsidP="003B796D">
      <w:pPr>
        <w:tabs>
          <w:tab w:val="center" w:pos="5760"/>
        </w:tabs>
        <w:rPr>
          <w:rFonts w:ascii="Arial" w:hAnsi="Arial" w:cs="Arial"/>
          <w:sz w:val="20"/>
          <w:szCs w:val="20"/>
        </w:rPr>
      </w:pPr>
      <w:r w:rsidRPr="00134591">
        <w:rPr>
          <w:noProof/>
        </w:rPr>
        <w:drawing>
          <wp:anchor distT="0" distB="0" distL="114300" distR="114300" simplePos="0" relativeHeight="251659264" behindDoc="0" locked="0" layoutInCell="1" allowOverlap="1" wp14:anchorId="261AAA26" wp14:editId="27BED398">
            <wp:simplePos x="0" y="0"/>
            <wp:positionH relativeFrom="margin">
              <wp:align>left</wp:align>
            </wp:positionH>
            <wp:positionV relativeFrom="paragraph">
              <wp:posOffset>10160</wp:posOffset>
            </wp:positionV>
            <wp:extent cx="2647950" cy="3248025"/>
            <wp:effectExtent l="0" t="0" r="0" b="9525"/>
            <wp:wrapThrough wrapText="bothSides">
              <wp:wrapPolygon edited="0">
                <wp:start x="0" y="0"/>
                <wp:lineTo x="0" y="21537"/>
                <wp:lineTo x="21445" y="21537"/>
                <wp:lineTo x="2144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3248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CD067" w14:textId="77777777" w:rsidR="00067419" w:rsidRPr="008F3A20" w:rsidRDefault="00067419" w:rsidP="003B796D">
      <w:pPr>
        <w:tabs>
          <w:tab w:val="center" w:pos="5760"/>
        </w:tabs>
        <w:rPr>
          <w:rFonts w:ascii="Arial" w:hAnsi="Arial" w:cs="Arial"/>
          <w:sz w:val="20"/>
          <w:szCs w:val="20"/>
        </w:rPr>
      </w:pPr>
    </w:p>
    <w:p w14:paraId="19753E70" w14:textId="77777777" w:rsidR="00067419" w:rsidRPr="008F3A20" w:rsidRDefault="00067419" w:rsidP="003B796D">
      <w:pPr>
        <w:tabs>
          <w:tab w:val="center" w:pos="5760"/>
        </w:tabs>
        <w:rPr>
          <w:rFonts w:ascii="Arial" w:hAnsi="Arial" w:cs="Arial"/>
          <w:sz w:val="20"/>
          <w:szCs w:val="20"/>
        </w:rPr>
      </w:pPr>
    </w:p>
    <w:p w14:paraId="23E8E53F" w14:textId="01EDCF8A" w:rsidR="00134591" w:rsidRDefault="00134591" w:rsidP="003B796D">
      <w:pPr>
        <w:tabs>
          <w:tab w:val="center" w:pos="5760"/>
        </w:tabs>
        <w:spacing w:after="240"/>
        <w:jc w:val="both"/>
        <w:rPr>
          <w:rFonts w:ascii="Arial" w:hAnsi="Arial" w:cs="Arial"/>
          <w:sz w:val="20"/>
          <w:szCs w:val="20"/>
        </w:rPr>
      </w:pPr>
      <w:r>
        <w:rPr>
          <w:rFonts w:ascii="Arial" w:hAnsi="Arial" w:cs="Arial"/>
          <w:sz w:val="20"/>
          <w:szCs w:val="20"/>
          <w:lang w:val="en-US"/>
        </w:rPr>
        <w:t>To</w:t>
      </w:r>
      <w:r w:rsidRPr="00134591">
        <w:rPr>
          <w:rFonts w:ascii="Arial" w:hAnsi="Arial" w:cs="Arial"/>
          <w:sz w:val="20"/>
          <w:szCs w:val="20"/>
        </w:rPr>
        <w:t xml:space="preserve"> 2020 </w:t>
      </w:r>
      <w:r>
        <w:rPr>
          <w:rFonts w:ascii="Arial" w:hAnsi="Arial" w:cs="Arial"/>
          <w:sz w:val="20"/>
          <w:szCs w:val="20"/>
        </w:rPr>
        <w:t xml:space="preserve">η Βενεζουέλα </w:t>
      </w:r>
      <w:r w:rsidR="00752461">
        <w:rPr>
          <w:rFonts w:ascii="Arial" w:hAnsi="Arial" w:cs="Arial"/>
          <w:sz w:val="20"/>
          <w:szCs w:val="20"/>
        </w:rPr>
        <w:t>διέθετε</w:t>
      </w:r>
      <w:r>
        <w:rPr>
          <w:rFonts w:ascii="Arial" w:hAnsi="Arial" w:cs="Arial"/>
          <w:sz w:val="20"/>
          <w:szCs w:val="20"/>
        </w:rPr>
        <w:t xml:space="preserve"> το 18% των παγκοσμίων βεβαιωμένων αποθεμάτων πετρελαίου ή ποσότητα 41,4 δισ. </w:t>
      </w:r>
      <w:proofErr w:type="spellStart"/>
      <w:r>
        <w:rPr>
          <w:rFonts w:ascii="Arial" w:hAnsi="Arial" w:cs="Arial"/>
          <w:sz w:val="20"/>
          <w:szCs w:val="20"/>
        </w:rPr>
        <w:t>τόννων</w:t>
      </w:r>
      <w:proofErr w:type="spellEnd"/>
      <w:r>
        <w:rPr>
          <w:rFonts w:ascii="Arial" w:hAnsi="Arial" w:cs="Arial"/>
          <w:sz w:val="20"/>
          <w:szCs w:val="20"/>
        </w:rPr>
        <w:t>.</w:t>
      </w:r>
      <w:r w:rsidR="00752461">
        <w:rPr>
          <w:rFonts w:ascii="Arial" w:hAnsi="Arial" w:cs="Arial"/>
          <w:sz w:val="20"/>
          <w:szCs w:val="20"/>
        </w:rPr>
        <w:t xml:space="preserve"> Δεδομένης της μικρής ποσότητας που εξάγει ετησίως, εκτιμάται ότι η κατάσταση παραμένει ίδια.</w:t>
      </w:r>
    </w:p>
    <w:p w14:paraId="15392B65" w14:textId="53272883" w:rsidR="00134591" w:rsidRDefault="00134591" w:rsidP="003B796D">
      <w:pPr>
        <w:tabs>
          <w:tab w:val="center" w:pos="5760"/>
        </w:tabs>
        <w:spacing w:after="240"/>
        <w:jc w:val="both"/>
        <w:rPr>
          <w:rFonts w:ascii="Arial" w:hAnsi="Arial" w:cs="Arial"/>
          <w:sz w:val="20"/>
          <w:szCs w:val="20"/>
        </w:rPr>
      </w:pPr>
      <w:r>
        <w:rPr>
          <w:rFonts w:ascii="Arial" w:hAnsi="Arial" w:cs="Arial"/>
          <w:sz w:val="20"/>
          <w:szCs w:val="20"/>
        </w:rPr>
        <w:t xml:space="preserve">Ακολουθούσε η Σαουδική Αραβία με </w:t>
      </w:r>
      <w:r w:rsidR="00067419">
        <w:rPr>
          <w:rFonts w:ascii="Arial" w:hAnsi="Arial" w:cs="Arial"/>
          <w:sz w:val="20"/>
          <w:szCs w:val="20"/>
        </w:rPr>
        <w:t xml:space="preserve">17% - </w:t>
      </w:r>
      <w:r>
        <w:rPr>
          <w:rFonts w:ascii="Arial" w:hAnsi="Arial" w:cs="Arial"/>
          <w:sz w:val="20"/>
          <w:szCs w:val="20"/>
        </w:rPr>
        <w:t xml:space="preserve">40,6 δισ. </w:t>
      </w:r>
      <w:proofErr w:type="spellStart"/>
      <w:r>
        <w:rPr>
          <w:rFonts w:ascii="Arial" w:hAnsi="Arial" w:cs="Arial"/>
          <w:sz w:val="20"/>
          <w:szCs w:val="20"/>
        </w:rPr>
        <w:t>τόννους</w:t>
      </w:r>
      <w:proofErr w:type="spellEnd"/>
      <w:r w:rsidR="00067419">
        <w:rPr>
          <w:rFonts w:ascii="Arial" w:hAnsi="Arial" w:cs="Arial"/>
          <w:sz w:val="20"/>
          <w:szCs w:val="20"/>
        </w:rPr>
        <w:t xml:space="preserve">, ο Καναδάς με 10% - 23 δισ. </w:t>
      </w:r>
      <w:proofErr w:type="spellStart"/>
      <w:r w:rsidR="00067419">
        <w:rPr>
          <w:rFonts w:ascii="Arial" w:hAnsi="Arial" w:cs="Arial"/>
          <w:sz w:val="20"/>
          <w:szCs w:val="20"/>
        </w:rPr>
        <w:t>τόννους</w:t>
      </w:r>
      <w:proofErr w:type="spellEnd"/>
      <w:r w:rsidR="00067419">
        <w:rPr>
          <w:rFonts w:ascii="Arial" w:hAnsi="Arial" w:cs="Arial"/>
          <w:sz w:val="20"/>
          <w:szCs w:val="20"/>
        </w:rPr>
        <w:t xml:space="preserve">, το Ιράν με 9% - 21,5 δισ. </w:t>
      </w:r>
      <w:proofErr w:type="spellStart"/>
      <w:r w:rsidR="00067419">
        <w:rPr>
          <w:rFonts w:ascii="Arial" w:hAnsi="Arial" w:cs="Arial"/>
          <w:sz w:val="20"/>
          <w:szCs w:val="20"/>
        </w:rPr>
        <w:t>τόννους</w:t>
      </w:r>
      <w:proofErr w:type="spellEnd"/>
      <w:r w:rsidR="00067419">
        <w:rPr>
          <w:rFonts w:ascii="Arial" w:hAnsi="Arial" w:cs="Arial"/>
          <w:sz w:val="20"/>
          <w:szCs w:val="20"/>
        </w:rPr>
        <w:t xml:space="preserve">, το Ιράκ με 8% - 19,8 δισ. </w:t>
      </w:r>
      <w:proofErr w:type="spellStart"/>
      <w:r w:rsidR="00067419">
        <w:rPr>
          <w:rFonts w:ascii="Arial" w:hAnsi="Arial" w:cs="Arial"/>
          <w:sz w:val="20"/>
          <w:szCs w:val="20"/>
        </w:rPr>
        <w:t>τόννους</w:t>
      </w:r>
      <w:proofErr w:type="spellEnd"/>
      <w:r w:rsidR="00067419">
        <w:rPr>
          <w:rFonts w:ascii="Arial" w:hAnsi="Arial" w:cs="Arial"/>
          <w:sz w:val="20"/>
          <w:szCs w:val="20"/>
        </w:rPr>
        <w:t xml:space="preserve">, η </w:t>
      </w:r>
      <w:proofErr w:type="spellStart"/>
      <w:r w:rsidR="00067419">
        <w:rPr>
          <w:rFonts w:ascii="Arial" w:hAnsi="Arial" w:cs="Arial"/>
          <w:sz w:val="20"/>
          <w:szCs w:val="20"/>
        </w:rPr>
        <w:t>Ρωσσία</w:t>
      </w:r>
      <w:proofErr w:type="spellEnd"/>
      <w:r w:rsidR="00067419">
        <w:rPr>
          <w:rFonts w:ascii="Arial" w:hAnsi="Arial" w:cs="Arial"/>
          <w:sz w:val="20"/>
          <w:szCs w:val="20"/>
        </w:rPr>
        <w:t xml:space="preserve"> με 6% - 14,7 δισ. </w:t>
      </w:r>
      <w:proofErr w:type="spellStart"/>
      <w:r w:rsidR="00067419">
        <w:rPr>
          <w:rFonts w:ascii="Arial" w:hAnsi="Arial" w:cs="Arial"/>
          <w:sz w:val="20"/>
          <w:szCs w:val="20"/>
        </w:rPr>
        <w:t>τόννους</w:t>
      </w:r>
      <w:proofErr w:type="spellEnd"/>
      <w:r w:rsidR="00067419">
        <w:rPr>
          <w:rFonts w:ascii="Arial" w:hAnsi="Arial" w:cs="Arial"/>
          <w:sz w:val="20"/>
          <w:szCs w:val="20"/>
        </w:rPr>
        <w:t xml:space="preserve">, το Κουβέιτ και τα ΗΑΕ με 6% - 13,8 και 13,3 δισ. </w:t>
      </w:r>
      <w:proofErr w:type="spellStart"/>
      <w:r w:rsidR="00067419">
        <w:rPr>
          <w:rFonts w:ascii="Arial" w:hAnsi="Arial" w:cs="Arial"/>
          <w:sz w:val="20"/>
          <w:szCs w:val="20"/>
        </w:rPr>
        <w:t>τόννους</w:t>
      </w:r>
      <w:proofErr w:type="spellEnd"/>
      <w:r w:rsidR="00067419">
        <w:rPr>
          <w:rFonts w:ascii="Arial" w:hAnsi="Arial" w:cs="Arial"/>
          <w:sz w:val="20"/>
          <w:szCs w:val="20"/>
        </w:rPr>
        <w:t xml:space="preserve"> αντιστοίχως, και στην 9</w:t>
      </w:r>
      <w:r w:rsidR="00067419" w:rsidRPr="00067419">
        <w:rPr>
          <w:rFonts w:ascii="Arial" w:hAnsi="Arial" w:cs="Arial"/>
          <w:sz w:val="20"/>
          <w:szCs w:val="20"/>
          <w:vertAlign w:val="superscript"/>
        </w:rPr>
        <w:t>η</w:t>
      </w:r>
      <w:r w:rsidR="00067419">
        <w:rPr>
          <w:rFonts w:ascii="Arial" w:hAnsi="Arial" w:cs="Arial"/>
          <w:sz w:val="20"/>
          <w:szCs w:val="20"/>
        </w:rPr>
        <w:t xml:space="preserve"> θέση οι ΗΠΑ με 4% - 9,4 δισ. </w:t>
      </w:r>
      <w:proofErr w:type="spellStart"/>
      <w:r w:rsidR="00067419">
        <w:rPr>
          <w:rFonts w:ascii="Arial" w:hAnsi="Arial" w:cs="Arial"/>
          <w:sz w:val="20"/>
          <w:szCs w:val="20"/>
        </w:rPr>
        <w:t>τόννους</w:t>
      </w:r>
      <w:proofErr w:type="spellEnd"/>
      <w:r w:rsidR="00067419">
        <w:rPr>
          <w:rFonts w:ascii="Arial" w:hAnsi="Arial" w:cs="Arial"/>
          <w:sz w:val="20"/>
          <w:szCs w:val="20"/>
        </w:rPr>
        <w:t>.</w:t>
      </w:r>
    </w:p>
    <w:p w14:paraId="44E699E3" w14:textId="6282665E" w:rsidR="00752461" w:rsidRDefault="00585F5A" w:rsidP="003B796D">
      <w:pPr>
        <w:tabs>
          <w:tab w:val="center" w:pos="5760"/>
        </w:tabs>
        <w:spacing w:after="240"/>
        <w:jc w:val="both"/>
        <w:rPr>
          <w:rFonts w:ascii="Arial" w:hAnsi="Arial" w:cs="Arial"/>
          <w:sz w:val="20"/>
          <w:szCs w:val="20"/>
        </w:rPr>
      </w:pPr>
      <w:r>
        <w:rPr>
          <w:rFonts w:ascii="Arial" w:hAnsi="Arial" w:cs="Arial"/>
          <w:sz w:val="20"/>
          <w:szCs w:val="20"/>
        </w:rPr>
        <w:t>Συνεπώς, είναι προφανής η σημασία των αποθεμάτων Βενεζουέλας για την οικονομία των ΗΠΑ, καθώς οι ΗΠΑ σταθερά εισάγουν μεγάλες ποσότητες αργού πετρελαίου για επεξεργασία στα διϋλιστήρια της χώρας (βλ. σελ.</w:t>
      </w:r>
      <w:r w:rsidR="002233C8">
        <w:rPr>
          <w:rFonts w:ascii="Arial" w:hAnsi="Arial" w:cs="Arial"/>
          <w:sz w:val="20"/>
          <w:szCs w:val="20"/>
        </w:rPr>
        <w:t>6</w:t>
      </w:r>
      <w:r>
        <w:rPr>
          <w:rFonts w:ascii="Arial" w:hAnsi="Arial" w:cs="Arial"/>
          <w:sz w:val="20"/>
          <w:szCs w:val="20"/>
        </w:rPr>
        <w:t xml:space="preserve">) </w:t>
      </w:r>
    </w:p>
    <w:p w14:paraId="6E475251" w14:textId="77777777" w:rsidR="00752461" w:rsidRDefault="00752461" w:rsidP="003B796D">
      <w:pPr>
        <w:tabs>
          <w:tab w:val="center" w:pos="5760"/>
        </w:tabs>
        <w:rPr>
          <w:rFonts w:ascii="Arial" w:hAnsi="Arial" w:cs="Arial"/>
          <w:sz w:val="20"/>
          <w:szCs w:val="20"/>
        </w:rPr>
      </w:pPr>
    </w:p>
    <w:p w14:paraId="3AEE9966" w14:textId="4013CF9B" w:rsidR="00134591" w:rsidRPr="00752461" w:rsidRDefault="00134591" w:rsidP="003B796D">
      <w:pPr>
        <w:tabs>
          <w:tab w:val="center" w:pos="5760"/>
        </w:tabs>
        <w:rPr>
          <w:rFonts w:ascii="Arial" w:hAnsi="Arial" w:cs="Arial"/>
          <w:sz w:val="16"/>
          <w:szCs w:val="16"/>
        </w:rPr>
      </w:pPr>
      <w:r w:rsidRPr="00752461">
        <w:rPr>
          <w:rFonts w:ascii="Arial" w:hAnsi="Arial" w:cs="Arial"/>
          <w:sz w:val="16"/>
          <w:szCs w:val="16"/>
        </w:rPr>
        <w:t xml:space="preserve">Πηγή: </w:t>
      </w:r>
      <w:hyperlink r:id="rId10" w:history="1">
        <w:r w:rsidRPr="00752461">
          <w:rPr>
            <w:rStyle w:val="Hyperlink"/>
            <w:rFonts w:ascii="Arial" w:hAnsi="Arial" w:cs="Arial"/>
            <w:sz w:val="16"/>
            <w:szCs w:val="16"/>
          </w:rPr>
          <w:t>https://archive.ourworldindata.org/</w:t>
        </w:r>
      </w:hyperlink>
      <w:r w:rsidRPr="00752461">
        <w:rPr>
          <w:rFonts w:ascii="Arial" w:hAnsi="Arial" w:cs="Arial"/>
          <w:sz w:val="16"/>
          <w:szCs w:val="16"/>
        </w:rPr>
        <w:t xml:space="preserve"> </w:t>
      </w:r>
    </w:p>
    <w:p w14:paraId="53104B0B" w14:textId="3E21D86C" w:rsidR="00752461" w:rsidRPr="00752461" w:rsidRDefault="00752461" w:rsidP="003B796D">
      <w:pPr>
        <w:tabs>
          <w:tab w:val="center" w:pos="5760"/>
        </w:tabs>
        <w:rPr>
          <w:rFonts w:ascii="Arial" w:hAnsi="Arial" w:cs="Arial"/>
          <w:sz w:val="16"/>
          <w:szCs w:val="16"/>
        </w:rPr>
      </w:pPr>
      <w:r w:rsidRPr="00752461">
        <w:rPr>
          <w:rFonts w:ascii="Arial" w:hAnsi="Arial" w:cs="Arial"/>
          <w:sz w:val="16"/>
          <w:szCs w:val="16"/>
        </w:rPr>
        <w:t>Επεξεργασία</w:t>
      </w:r>
      <w:r w:rsidR="0077022F">
        <w:rPr>
          <w:rFonts w:ascii="Arial" w:hAnsi="Arial" w:cs="Arial"/>
          <w:sz w:val="16"/>
          <w:szCs w:val="16"/>
        </w:rPr>
        <w:t xml:space="preserve"> - διαγράμματα</w:t>
      </w:r>
      <w:r w:rsidRPr="00752461">
        <w:rPr>
          <w:rFonts w:ascii="Arial" w:hAnsi="Arial" w:cs="Arial"/>
          <w:sz w:val="16"/>
          <w:szCs w:val="16"/>
        </w:rPr>
        <w:t>: Γραφείο ΟΕΥ Ουάσιγκτων</w:t>
      </w:r>
    </w:p>
    <w:p w14:paraId="35769596" w14:textId="254387BA" w:rsidR="00134591" w:rsidRDefault="00585F5A" w:rsidP="003B796D">
      <w:pPr>
        <w:tabs>
          <w:tab w:val="center" w:pos="5760"/>
        </w:tabs>
        <w:rPr>
          <w:rFonts w:ascii="Arial" w:hAnsi="Arial" w:cs="Arial"/>
          <w:sz w:val="20"/>
          <w:szCs w:val="20"/>
        </w:rPr>
      </w:pPr>
      <w:r>
        <w:rPr>
          <w:noProof/>
        </w:rPr>
        <w:drawing>
          <wp:anchor distT="0" distB="0" distL="114300" distR="114300" simplePos="0" relativeHeight="251660288" behindDoc="0" locked="0" layoutInCell="1" allowOverlap="1" wp14:anchorId="642B6D23" wp14:editId="2ABAA8FD">
            <wp:simplePos x="0" y="0"/>
            <wp:positionH relativeFrom="margin">
              <wp:align>right</wp:align>
            </wp:positionH>
            <wp:positionV relativeFrom="paragraph">
              <wp:posOffset>255270</wp:posOffset>
            </wp:positionV>
            <wp:extent cx="5600700" cy="3505200"/>
            <wp:effectExtent l="0" t="0" r="0" b="0"/>
            <wp:wrapSquare wrapText="bothSides"/>
            <wp:docPr id="2" name="Chart 2">
              <a:extLst xmlns:a="http://schemas.openxmlformats.org/drawingml/2006/main">
                <a:ext uri="{FF2B5EF4-FFF2-40B4-BE49-F238E27FC236}">
                  <a16:creationId xmlns:a16="http://schemas.microsoft.com/office/drawing/2014/main" id="{20550A46-768B-4B39-96B2-2A2FF6672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39A09EA" w14:textId="23331E28" w:rsidR="00CA27F6" w:rsidRDefault="00C56596" w:rsidP="00C56596">
      <w:pPr>
        <w:spacing w:after="360"/>
        <w:ind w:hanging="274"/>
        <w:rPr>
          <w:rFonts w:ascii="Arial" w:hAnsi="Arial" w:cs="Arial"/>
          <w:b/>
          <w:sz w:val="20"/>
          <w:szCs w:val="20"/>
        </w:rPr>
      </w:pPr>
      <w:r>
        <w:rPr>
          <w:rFonts w:ascii="Arial" w:hAnsi="Arial" w:cs="Arial"/>
          <w:b/>
          <w:sz w:val="20"/>
          <w:szCs w:val="20"/>
        </w:rPr>
        <w:lastRenderedPageBreak/>
        <w:t>Δ</w:t>
      </w:r>
      <w:r w:rsidR="00CA27F6" w:rsidRPr="00CA27F6">
        <w:rPr>
          <w:rFonts w:ascii="Arial" w:hAnsi="Arial" w:cs="Arial"/>
          <w:b/>
          <w:sz w:val="20"/>
          <w:szCs w:val="20"/>
        </w:rPr>
        <w:t xml:space="preserve">. </w:t>
      </w:r>
      <w:r w:rsidR="00CA27F6" w:rsidRPr="00CA27F6">
        <w:rPr>
          <w:rFonts w:ascii="Arial" w:hAnsi="Arial" w:cs="Arial"/>
          <w:b/>
          <w:sz w:val="20"/>
          <w:szCs w:val="20"/>
        </w:rPr>
        <w:tab/>
        <w:t>Εισαγωγές αργού πετρελαίου και πετρελ</w:t>
      </w:r>
      <w:r w:rsidR="00CA27F6">
        <w:rPr>
          <w:rFonts w:ascii="Arial" w:hAnsi="Arial" w:cs="Arial"/>
          <w:b/>
          <w:sz w:val="20"/>
          <w:szCs w:val="20"/>
        </w:rPr>
        <w:t>αϊκών</w:t>
      </w:r>
      <w:r w:rsidR="00CA27F6" w:rsidRPr="00CA27F6">
        <w:rPr>
          <w:rFonts w:ascii="Arial" w:hAnsi="Arial" w:cs="Arial"/>
          <w:b/>
          <w:sz w:val="20"/>
          <w:szCs w:val="20"/>
        </w:rPr>
        <w:t xml:space="preserve"> προϊόντων στις ΗΠΑ από την Βενεζουέλα (</w:t>
      </w:r>
      <w:r w:rsidR="00CA27F6">
        <w:rPr>
          <w:rFonts w:ascii="Arial" w:hAnsi="Arial" w:cs="Arial"/>
          <w:b/>
          <w:sz w:val="20"/>
          <w:szCs w:val="20"/>
        </w:rPr>
        <w:t>1993</w:t>
      </w:r>
      <w:r w:rsidR="00CA27F6" w:rsidRPr="00CA27F6">
        <w:rPr>
          <w:rFonts w:ascii="Arial" w:hAnsi="Arial" w:cs="Arial"/>
          <w:b/>
          <w:sz w:val="20"/>
          <w:szCs w:val="20"/>
        </w:rPr>
        <w:t xml:space="preserve"> – </w:t>
      </w:r>
      <w:r w:rsidR="00CA27F6">
        <w:rPr>
          <w:rFonts w:ascii="Arial" w:hAnsi="Arial" w:cs="Arial"/>
          <w:b/>
          <w:sz w:val="20"/>
          <w:szCs w:val="20"/>
        </w:rPr>
        <w:t>2025, σε βαρέλια</w:t>
      </w:r>
      <w:r w:rsidR="00CA27F6" w:rsidRPr="00CA27F6">
        <w:rPr>
          <w:rFonts w:ascii="Arial" w:hAnsi="Arial" w:cs="Arial"/>
          <w:b/>
          <w:sz w:val="20"/>
          <w:szCs w:val="20"/>
        </w:rPr>
        <w:t>)</w:t>
      </w:r>
    </w:p>
    <w:p w14:paraId="7745D1B2" w14:textId="310BEA70" w:rsidR="00F67D60" w:rsidRDefault="00F67D60" w:rsidP="003B796D">
      <w:pPr>
        <w:spacing w:after="360"/>
        <w:ind w:left="274" w:hanging="274"/>
        <w:rPr>
          <w:rFonts w:ascii="Arial" w:hAnsi="Arial" w:cs="Arial"/>
          <w:sz w:val="20"/>
          <w:szCs w:val="20"/>
        </w:rPr>
      </w:pPr>
      <w:r w:rsidRPr="001032BB">
        <w:rPr>
          <w:noProof/>
        </w:rPr>
        <w:drawing>
          <wp:anchor distT="0" distB="0" distL="114300" distR="457200" simplePos="0" relativeHeight="251663360" behindDoc="0" locked="0" layoutInCell="1" allowOverlap="1" wp14:anchorId="160C656D" wp14:editId="312D8FD9">
            <wp:simplePos x="0" y="0"/>
            <wp:positionH relativeFrom="margin">
              <wp:align>left</wp:align>
            </wp:positionH>
            <wp:positionV relativeFrom="paragraph">
              <wp:posOffset>15875</wp:posOffset>
            </wp:positionV>
            <wp:extent cx="1225296" cy="5916168"/>
            <wp:effectExtent l="0" t="0" r="0" b="0"/>
            <wp:wrapThrough wrapText="bothSides">
              <wp:wrapPolygon edited="0">
                <wp:start x="0" y="0"/>
                <wp:lineTo x="0" y="21493"/>
                <wp:lineTo x="21163" y="21493"/>
                <wp:lineTo x="2116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5296" cy="59161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2DFB7" w14:textId="7F8BCB87" w:rsidR="00CA27F6" w:rsidRDefault="001032BB" w:rsidP="003B796D">
      <w:pPr>
        <w:spacing w:after="360"/>
        <w:ind w:left="274" w:hanging="274"/>
        <w:rPr>
          <w:rFonts w:ascii="Arial" w:hAnsi="Arial" w:cs="Arial"/>
          <w:sz w:val="20"/>
          <w:szCs w:val="20"/>
        </w:rPr>
      </w:pPr>
      <w:r>
        <w:rPr>
          <w:rFonts w:ascii="Arial" w:hAnsi="Arial" w:cs="Arial"/>
          <w:sz w:val="20"/>
          <w:szCs w:val="20"/>
        </w:rPr>
        <w:t>Η εισαγωγή αργού πετρελαίου και πετρελαϊκών προϊόντων από την Βενεζουέλα στις ΗΠΑ ακολούθησε αργή, σταθερή πτώση καθ’ όλη την περίοδο 1003 – 2025.</w:t>
      </w:r>
    </w:p>
    <w:p w14:paraId="303F28CA" w14:textId="07E77230" w:rsidR="001032BB" w:rsidRDefault="001032BB" w:rsidP="003B796D">
      <w:pPr>
        <w:spacing w:after="360"/>
        <w:ind w:left="274" w:hanging="274"/>
        <w:rPr>
          <w:rFonts w:ascii="Arial" w:hAnsi="Arial" w:cs="Arial"/>
          <w:sz w:val="20"/>
          <w:szCs w:val="20"/>
        </w:rPr>
      </w:pPr>
      <w:r>
        <w:rPr>
          <w:rFonts w:ascii="Arial" w:hAnsi="Arial" w:cs="Arial"/>
          <w:sz w:val="20"/>
          <w:szCs w:val="20"/>
        </w:rPr>
        <w:t>Την περίοδο 2020-2022</w:t>
      </w:r>
      <w:r w:rsidR="007628D0">
        <w:rPr>
          <w:rFonts w:ascii="Arial" w:hAnsi="Arial" w:cs="Arial"/>
          <w:sz w:val="20"/>
          <w:szCs w:val="20"/>
        </w:rPr>
        <w:t xml:space="preserve"> η εισαγωγή</w:t>
      </w:r>
      <w:r>
        <w:rPr>
          <w:rFonts w:ascii="Arial" w:hAnsi="Arial" w:cs="Arial"/>
          <w:sz w:val="20"/>
          <w:szCs w:val="20"/>
        </w:rPr>
        <w:t xml:space="preserve"> διεκόπη εντελώς.</w:t>
      </w:r>
    </w:p>
    <w:p w14:paraId="7E57880C" w14:textId="41928061" w:rsidR="001032BB" w:rsidRDefault="001032BB" w:rsidP="003B796D">
      <w:pPr>
        <w:spacing w:after="360"/>
        <w:ind w:left="274" w:hanging="274"/>
        <w:rPr>
          <w:rFonts w:ascii="Arial" w:hAnsi="Arial" w:cs="Arial"/>
          <w:sz w:val="20"/>
          <w:szCs w:val="20"/>
        </w:rPr>
      </w:pPr>
      <w:r>
        <w:rPr>
          <w:rFonts w:ascii="Arial" w:hAnsi="Arial" w:cs="Arial"/>
          <w:sz w:val="20"/>
          <w:szCs w:val="20"/>
        </w:rPr>
        <w:t>* Το 2025, κατά το διάστημα Ιανουαρίου  - Οκτωβρίου, η εισαγόμενη ποσότητα μειώθηκε σε 44.311 βαρέλια. Για το σύνολο του 2025, εκτιμάται ότι θα ανέλθει σε 51.000 βαρέλια, ποσότητα χαμηλότερη όλης της προηγούμενης περιόδου από το 1993.</w:t>
      </w:r>
    </w:p>
    <w:p w14:paraId="17215757" w14:textId="3BF44469" w:rsidR="001032BB" w:rsidRPr="001032BB" w:rsidRDefault="001032BB" w:rsidP="003B796D">
      <w:pPr>
        <w:spacing w:after="200"/>
        <w:rPr>
          <w:rFonts w:ascii="Arial" w:hAnsi="Arial" w:cs="Arial"/>
          <w:sz w:val="16"/>
          <w:szCs w:val="16"/>
        </w:rPr>
      </w:pPr>
      <w:r w:rsidRPr="00752461">
        <w:rPr>
          <w:rFonts w:ascii="Arial" w:hAnsi="Arial" w:cs="Arial"/>
          <w:sz w:val="16"/>
          <w:szCs w:val="16"/>
        </w:rPr>
        <w:t>Πηγή</w:t>
      </w:r>
      <w:r w:rsidRPr="001032BB">
        <w:rPr>
          <w:rFonts w:ascii="Arial" w:hAnsi="Arial" w:cs="Arial"/>
          <w:sz w:val="16"/>
          <w:szCs w:val="16"/>
        </w:rPr>
        <w:t>:</w:t>
      </w:r>
      <w:r w:rsidRPr="001032BB">
        <w:rPr>
          <w:sz w:val="16"/>
          <w:szCs w:val="16"/>
        </w:rPr>
        <w:t xml:space="preserve"> </w:t>
      </w:r>
      <w:r>
        <w:rPr>
          <w:rFonts w:ascii="Arial" w:hAnsi="Arial" w:cs="Arial"/>
          <w:sz w:val="16"/>
          <w:szCs w:val="16"/>
          <w:lang w:val="en-US"/>
        </w:rPr>
        <w:t>US</w:t>
      </w:r>
      <w:r w:rsidRPr="001032BB">
        <w:rPr>
          <w:rFonts w:ascii="Arial" w:hAnsi="Arial" w:cs="Arial"/>
          <w:sz w:val="16"/>
          <w:szCs w:val="16"/>
        </w:rPr>
        <w:t xml:space="preserve"> </w:t>
      </w:r>
      <w:r>
        <w:rPr>
          <w:rFonts w:ascii="Arial" w:hAnsi="Arial" w:cs="Arial"/>
          <w:sz w:val="16"/>
          <w:szCs w:val="16"/>
          <w:lang w:val="en-US"/>
        </w:rPr>
        <w:t>Energy</w:t>
      </w:r>
      <w:r w:rsidRPr="001032BB">
        <w:rPr>
          <w:rFonts w:ascii="Arial" w:hAnsi="Arial" w:cs="Arial"/>
          <w:sz w:val="16"/>
          <w:szCs w:val="16"/>
        </w:rPr>
        <w:t xml:space="preserve"> </w:t>
      </w:r>
      <w:r>
        <w:rPr>
          <w:rFonts w:ascii="Arial" w:hAnsi="Arial" w:cs="Arial"/>
          <w:sz w:val="16"/>
          <w:szCs w:val="16"/>
          <w:lang w:val="en-US"/>
        </w:rPr>
        <w:t>Information</w:t>
      </w:r>
      <w:r w:rsidRPr="001032BB">
        <w:rPr>
          <w:rFonts w:ascii="Arial" w:hAnsi="Arial" w:cs="Arial"/>
          <w:sz w:val="16"/>
          <w:szCs w:val="16"/>
        </w:rPr>
        <w:t xml:space="preserve"> </w:t>
      </w:r>
      <w:r>
        <w:rPr>
          <w:rFonts w:ascii="Arial" w:hAnsi="Arial" w:cs="Arial"/>
          <w:sz w:val="16"/>
          <w:szCs w:val="16"/>
          <w:lang w:val="en-US"/>
        </w:rPr>
        <w:t>Administration</w:t>
      </w:r>
      <w:r w:rsidRPr="001032BB">
        <w:rPr>
          <w:rFonts w:ascii="Arial" w:hAnsi="Arial" w:cs="Arial"/>
          <w:sz w:val="16"/>
          <w:szCs w:val="16"/>
        </w:rPr>
        <w:br/>
      </w:r>
      <w:r w:rsidRPr="00752461">
        <w:rPr>
          <w:rFonts w:ascii="Arial" w:hAnsi="Arial" w:cs="Arial"/>
          <w:sz w:val="16"/>
          <w:szCs w:val="16"/>
        </w:rPr>
        <w:t>Επεξεργασία</w:t>
      </w:r>
      <w:r w:rsidRPr="001032BB">
        <w:rPr>
          <w:rFonts w:ascii="Arial" w:hAnsi="Arial" w:cs="Arial"/>
          <w:sz w:val="16"/>
          <w:szCs w:val="16"/>
        </w:rPr>
        <w:t xml:space="preserve"> – </w:t>
      </w:r>
      <w:r>
        <w:rPr>
          <w:rFonts w:ascii="Arial" w:hAnsi="Arial" w:cs="Arial"/>
          <w:sz w:val="16"/>
          <w:szCs w:val="16"/>
        </w:rPr>
        <w:t>Διαγράμματα</w:t>
      </w:r>
      <w:r w:rsidRPr="001032BB">
        <w:rPr>
          <w:rFonts w:ascii="Arial" w:hAnsi="Arial" w:cs="Arial"/>
          <w:sz w:val="16"/>
          <w:szCs w:val="16"/>
        </w:rPr>
        <w:t xml:space="preserve">: </w:t>
      </w:r>
      <w:r w:rsidRPr="00752461">
        <w:rPr>
          <w:rFonts w:ascii="Arial" w:hAnsi="Arial" w:cs="Arial"/>
          <w:sz w:val="16"/>
          <w:szCs w:val="16"/>
        </w:rPr>
        <w:t>Γραφείο</w:t>
      </w:r>
      <w:r w:rsidRPr="001032BB">
        <w:rPr>
          <w:rFonts w:ascii="Arial" w:hAnsi="Arial" w:cs="Arial"/>
          <w:sz w:val="16"/>
          <w:szCs w:val="16"/>
        </w:rPr>
        <w:t xml:space="preserve"> </w:t>
      </w:r>
      <w:r w:rsidRPr="00752461">
        <w:rPr>
          <w:rFonts w:ascii="Arial" w:hAnsi="Arial" w:cs="Arial"/>
          <w:sz w:val="16"/>
          <w:szCs w:val="16"/>
        </w:rPr>
        <w:t>ΟΕΥ</w:t>
      </w:r>
      <w:r w:rsidRPr="001032BB">
        <w:rPr>
          <w:rFonts w:ascii="Arial" w:hAnsi="Arial" w:cs="Arial"/>
          <w:sz w:val="16"/>
          <w:szCs w:val="16"/>
        </w:rPr>
        <w:t xml:space="preserve"> </w:t>
      </w:r>
      <w:r w:rsidRPr="00752461">
        <w:rPr>
          <w:rFonts w:ascii="Arial" w:hAnsi="Arial" w:cs="Arial"/>
          <w:sz w:val="16"/>
          <w:szCs w:val="16"/>
        </w:rPr>
        <w:t>Ουάσιγκτων</w:t>
      </w:r>
    </w:p>
    <w:p w14:paraId="076095F8" w14:textId="77777777" w:rsidR="007628D0" w:rsidRDefault="007628D0" w:rsidP="003B796D">
      <w:pPr>
        <w:spacing w:after="360"/>
        <w:ind w:left="274" w:hanging="274"/>
        <w:rPr>
          <w:rFonts w:ascii="Arial" w:hAnsi="Arial" w:cs="Arial"/>
          <w:sz w:val="20"/>
          <w:szCs w:val="20"/>
        </w:rPr>
      </w:pPr>
    </w:p>
    <w:p w14:paraId="56F9604D" w14:textId="5514507C" w:rsidR="001032BB" w:rsidRPr="001032BB" w:rsidRDefault="00F67D60" w:rsidP="003B796D">
      <w:pPr>
        <w:spacing w:after="360"/>
        <w:ind w:left="274" w:hanging="274"/>
        <w:rPr>
          <w:rFonts w:ascii="Arial" w:hAnsi="Arial" w:cs="Arial"/>
          <w:sz w:val="20"/>
          <w:szCs w:val="20"/>
        </w:rPr>
      </w:pPr>
      <w:r w:rsidRPr="00F67D60">
        <w:rPr>
          <w:noProof/>
        </w:rPr>
        <w:drawing>
          <wp:anchor distT="0" distB="0" distL="114300" distR="114300" simplePos="0" relativeHeight="251664384" behindDoc="0" locked="0" layoutInCell="1" allowOverlap="1" wp14:anchorId="70A6A1C9" wp14:editId="07B86C5F">
            <wp:simplePos x="0" y="0"/>
            <wp:positionH relativeFrom="column">
              <wp:posOffset>1485900</wp:posOffset>
            </wp:positionH>
            <wp:positionV relativeFrom="paragraph">
              <wp:posOffset>267970</wp:posOffset>
            </wp:positionV>
            <wp:extent cx="4581525" cy="2752725"/>
            <wp:effectExtent l="0" t="0" r="9525" b="9525"/>
            <wp:wrapThrough wrapText="bothSides">
              <wp:wrapPolygon edited="0">
                <wp:start x="0" y="0"/>
                <wp:lineTo x="0" y="21525"/>
                <wp:lineTo x="21555" y="21525"/>
                <wp:lineTo x="2155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3B37B" w14:textId="4E1AC74E" w:rsidR="00CA27F6" w:rsidRPr="001032BB" w:rsidRDefault="00CA27F6" w:rsidP="003B796D">
      <w:pPr>
        <w:spacing w:after="200"/>
        <w:rPr>
          <w:rFonts w:ascii="Arial" w:hAnsi="Arial" w:cs="Arial"/>
          <w:b/>
          <w:sz w:val="20"/>
          <w:szCs w:val="20"/>
        </w:rPr>
      </w:pPr>
      <w:r w:rsidRPr="001032BB">
        <w:rPr>
          <w:rFonts w:ascii="Arial" w:hAnsi="Arial" w:cs="Arial"/>
          <w:b/>
          <w:sz w:val="20"/>
          <w:szCs w:val="20"/>
        </w:rPr>
        <w:br w:type="page"/>
      </w:r>
    </w:p>
    <w:p w14:paraId="3D766105" w14:textId="7E26E15F" w:rsidR="00D83D9C" w:rsidRPr="00D83D9C" w:rsidRDefault="00C56596" w:rsidP="00C56596">
      <w:pPr>
        <w:spacing w:after="360"/>
        <w:ind w:hanging="270"/>
        <w:rPr>
          <w:rFonts w:ascii="Arial" w:hAnsi="Arial" w:cs="Arial"/>
          <w:b/>
          <w:sz w:val="20"/>
          <w:szCs w:val="20"/>
        </w:rPr>
      </w:pPr>
      <w:r>
        <w:rPr>
          <w:rFonts w:ascii="Arial" w:hAnsi="Arial" w:cs="Arial"/>
          <w:b/>
          <w:sz w:val="20"/>
          <w:szCs w:val="20"/>
        </w:rPr>
        <w:lastRenderedPageBreak/>
        <w:t>Ε</w:t>
      </w:r>
      <w:r w:rsidR="00D83D9C" w:rsidRPr="00D83D9C">
        <w:rPr>
          <w:rFonts w:ascii="Arial" w:hAnsi="Arial" w:cs="Arial"/>
          <w:b/>
          <w:sz w:val="20"/>
          <w:szCs w:val="20"/>
        </w:rPr>
        <w:t>. Παγκόσμιες εξαγωγές</w:t>
      </w:r>
      <w:r w:rsidR="00FB3872">
        <w:rPr>
          <w:rFonts w:ascii="Arial" w:hAnsi="Arial" w:cs="Arial"/>
          <w:b/>
          <w:sz w:val="20"/>
          <w:szCs w:val="20"/>
        </w:rPr>
        <w:t xml:space="preserve"> </w:t>
      </w:r>
      <w:r w:rsidR="00D83D9C" w:rsidRPr="00D83D9C">
        <w:rPr>
          <w:rFonts w:ascii="Arial" w:hAnsi="Arial" w:cs="Arial"/>
          <w:b/>
          <w:sz w:val="20"/>
          <w:szCs w:val="20"/>
        </w:rPr>
        <w:t>-</w:t>
      </w:r>
      <w:r w:rsidR="00FB3872">
        <w:rPr>
          <w:rFonts w:ascii="Arial" w:hAnsi="Arial" w:cs="Arial"/>
          <w:b/>
          <w:sz w:val="20"/>
          <w:szCs w:val="20"/>
        </w:rPr>
        <w:t xml:space="preserve"> </w:t>
      </w:r>
      <w:r w:rsidR="00D83D9C" w:rsidRPr="00D83D9C">
        <w:rPr>
          <w:rFonts w:ascii="Arial" w:hAnsi="Arial" w:cs="Arial"/>
          <w:b/>
          <w:sz w:val="20"/>
          <w:szCs w:val="20"/>
        </w:rPr>
        <w:t xml:space="preserve">εισαγωγές πετρελαίου </w:t>
      </w:r>
      <w:r w:rsidR="00E433AA">
        <w:rPr>
          <w:rFonts w:ascii="Arial" w:hAnsi="Arial" w:cs="Arial"/>
          <w:sz w:val="20"/>
          <w:szCs w:val="20"/>
        </w:rPr>
        <w:t>(δασμολογική κατηγορία 2709)</w:t>
      </w:r>
    </w:p>
    <w:p w14:paraId="2F2298A7" w14:textId="64010005" w:rsidR="00FB3872" w:rsidRDefault="00FB3872" w:rsidP="003B796D">
      <w:pPr>
        <w:spacing w:after="360"/>
        <w:jc w:val="both"/>
        <w:rPr>
          <w:rFonts w:ascii="Arial" w:hAnsi="Arial" w:cs="Arial"/>
          <w:sz w:val="20"/>
          <w:szCs w:val="20"/>
        </w:rPr>
      </w:pPr>
      <w:r>
        <w:rPr>
          <w:rFonts w:ascii="Arial" w:hAnsi="Arial" w:cs="Arial"/>
          <w:sz w:val="20"/>
          <w:szCs w:val="20"/>
        </w:rPr>
        <w:t xml:space="preserve">Στις διεθνείς στατιστικές έχει σταματήσει η αξιόπιστη καταγραφή των εξαγωγών και εισαγωγών αργού πετρελαίου </w:t>
      </w:r>
      <w:r w:rsidR="007628D0">
        <w:rPr>
          <w:rFonts w:ascii="Arial" w:hAnsi="Arial" w:cs="Arial"/>
          <w:sz w:val="20"/>
          <w:szCs w:val="20"/>
        </w:rPr>
        <w:t xml:space="preserve">που αφορούν την Βενεζουέλα </w:t>
      </w:r>
      <w:r>
        <w:rPr>
          <w:rFonts w:ascii="Arial" w:hAnsi="Arial" w:cs="Arial"/>
          <w:sz w:val="20"/>
          <w:szCs w:val="20"/>
        </w:rPr>
        <w:t>από το 2024. Έκτοτε η χώρα δεν εμφανίζεται στους διεθνείς πίνακες στοιχείων.</w:t>
      </w:r>
    </w:p>
    <w:p w14:paraId="7C7B5260" w14:textId="4F31D896" w:rsidR="00E433AA" w:rsidRDefault="0077022F" w:rsidP="003B796D">
      <w:pPr>
        <w:spacing w:after="200"/>
        <w:rPr>
          <w:rFonts w:ascii="Arial" w:hAnsi="Arial" w:cs="Arial"/>
          <w:sz w:val="20"/>
          <w:szCs w:val="20"/>
        </w:rPr>
      </w:pPr>
      <w:r w:rsidRPr="00E433AA">
        <w:rPr>
          <w:noProof/>
        </w:rPr>
        <w:drawing>
          <wp:anchor distT="0" distB="0" distL="114300" distR="457200" simplePos="0" relativeHeight="251661312" behindDoc="0" locked="0" layoutInCell="1" allowOverlap="1" wp14:anchorId="5FC4EC02" wp14:editId="464ECA3C">
            <wp:simplePos x="0" y="0"/>
            <wp:positionH relativeFrom="margin">
              <wp:align>left</wp:align>
            </wp:positionH>
            <wp:positionV relativeFrom="paragraph">
              <wp:posOffset>3810</wp:posOffset>
            </wp:positionV>
            <wp:extent cx="1453515" cy="3693795"/>
            <wp:effectExtent l="0" t="0" r="0" b="1905"/>
            <wp:wrapThrough wrapText="bothSides">
              <wp:wrapPolygon edited="0">
                <wp:start x="3680" y="223"/>
                <wp:lineTo x="0" y="2005"/>
                <wp:lineTo x="0" y="21500"/>
                <wp:lineTo x="21232" y="21500"/>
                <wp:lineTo x="21232" y="2005"/>
                <wp:lineTo x="16136" y="223"/>
                <wp:lineTo x="3680" y="223"/>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3515" cy="3693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0AA65" w14:textId="7B19EE23" w:rsidR="00E433AA" w:rsidRDefault="00E433AA" w:rsidP="003B796D">
      <w:pPr>
        <w:spacing w:after="200"/>
        <w:rPr>
          <w:rFonts w:ascii="Arial" w:hAnsi="Arial" w:cs="Arial"/>
          <w:sz w:val="20"/>
          <w:szCs w:val="20"/>
        </w:rPr>
      </w:pPr>
    </w:p>
    <w:p w14:paraId="1F731A40" w14:textId="10203565" w:rsidR="00E433AA" w:rsidRDefault="00E433AA" w:rsidP="003B796D">
      <w:pPr>
        <w:spacing w:after="200"/>
        <w:rPr>
          <w:rFonts w:ascii="Arial" w:hAnsi="Arial" w:cs="Arial"/>
          <w:sz w:val="20"/>
          <w:szCs w:val="20"/>
        </w:rPr>
      </w:pPr>
    </w:p>
    <w:p w14:paraId="603CB7B2" w14:textId="4969D0A0" w:rsidR="00E433AA" w:rsidRDefault="00E433AA" w:rsidP="003B796D">
      <w:pPr>
        <w:spacing w:after="200"/>
        <w:rPr>
          <w:rFonts w:ascii="Arial" w:hAnsi="Arial" w:cs="Arial"/>
          <w:sz w:val="20"/>
          <w:szCs w:val="20"/>
        </w:rPr>
      </w:pPr>
      <w:r>
        <w:rPr>
          <w:rFonts w:ascii="Arial" w:hAnsi="Arial" w:cs="Arial"/>
          <w:sz w:val="20"/>
          <w:szCs w:val="20"/>
        </w:rPr>
        <w:t>ΕΞΑΓΩΓΕΣ</w:t>
      </w:r>
      <w:r w:rsidRPr="00E433AA">
        <w:rPr>
          <w:rFonts w:ascii="Arial" w:hAnsi="Arial" w:cs="Arial"/>
          <w:sz w:val="20"/>
          <w:szCs w:val="20"/>
        </w:rPr>
        <w:t>:</w:t>
      </w:r>
    </w:p>
    <w:p w14:paraId="2A87C959" w14:textId="14600567" w:rsidR="00FB3872" w:rsidRDefault="00FB3872" w:rsidP="003B796D">
      <w:pPr>
        <w:spacing w:after="200"/>
        <w:jc w:val="both"/>
        <w:rPr>
          <w:rFonts w:ascii="Arial" w:hAnsi="Arial" w:cs="Arial"/>
          <w:sz w:val="20"/>
          <w:szCs w:val="20"/>
        </w:rPr>
      </w:pPr>
      <w:r>
        <w:rPr>
          <w:rFonts w:ascii="Arial" w:hAnsi="Arial" w:cs="Arial"/>
          <w:sz w:val="20"/>
          <w:szCs w:val="20"/>
        </w:rPr>
        <w:t xml:space="preserve">Σε ό,τι αφορά τις παγκόσμιες εξαγωγές αργού πετρελαίου, ο Καναδάς πραγματοποίησε το 2024 τις υψηλότερες εξαγωγές με 246 εκ. </w:t>
      </w:r>
      <w:proofErr w:type="spellStart"/>
      <w:r>
        <w:rPr>
          <w:rFonts w:ascii="Arial" w:hAnsi="Arial" w:cs="Arial"/>
          <w:sz w:val="20"/>
          <w:szCs w:val="20"/>
        </w:rPr>
        <w:t>τόννους</w:t>
      </w:r>
      <w:proofErr w:type="spellEnd"/>
      <w:r>
        <w:rPr>
          <w:rFonts w:ascii="Arial" w:hAnsi="Arial" w:cs="Arial"/>
          <w:sz w:val="20"/>
          <w:szCs w:val="20"/>
        </w:rPr>
        <w:t xml:space="preserve">, ακολουθούμενος από τις ΗΠΑ με 238,8 εκ. </w:t>
      </w:r>
      <w:proofErr w:type="spellStart"/>
      <w:r>
        <w:rPr>
          <w:rFonts w:ascii="Arial" w:hAnsi="Arial" w:cs="Arial"/>
          <w:sz w:val="20"/>
          <w:szCs w:val="20"/>
        </w:rPr>
        <w:t>τόννους</w:t>
      </w:r>
      <w:proofErr w:type="spellEnd"/>
      <w:r>
        <w:rPr>
          <w:rFonts w:ascii="Arial" w:hAnsi="Arial" w:cs="Arial"/>
          <w:sz w:val="20"/>
          <w:szCs w:val="20"/>
        </w:rPr>
        <w:t xml:space="preserve">, την </w:t>
      </w:r>
      <w:proofErr w:type="spellStart"/>
      <w:r>
        <w:rPr>
          <w:rFonts w:ascii="Arial" w:hAnsi="Arial" w:cs="Arial"/>
          <w:sz w:val="20"/>
          <w:szCs w:val="20"/>
        </w:rPr>
        <w:t>Ρωσσία</w:t>
      </w:r>
      <w:proofErr w:type="spellEnd"/>
      <w:r>
        <w:rPr>
          <w:rFonts w:ascii="Arial" w:hAnsi="Arial" w:cs="Arial"/>
          <w:sz w:val="20"/>
          <w:szCs w:val="20"/>
        </w:rPr>
        <w:t xml:space="preserve"> με 213 εκ. </w:t>
      </w:r>
      <w:proofErr w:type="spellStart"/>
      <w:r>
        <w:rPr>
          <w:rFonts w:ascii="Arial" w:hAnsi="Arial" w:cs="Arial"/>
          <w:sz w:val="20"/>
          <w:szCs w:val="20"/>
        </w:rPr>
        <w:t>τόννους</w:t>
      </w:r>
      <w:proofErr w:type="spellEnd"/>
      <w:r>
        <w:rPr>
          <w:rFonts w:ascii="Arial" w:hAnsi="Arial" w:cs="Arial"/>
          <w:sz w:val="20"/>
          <w:szCs w:val="20"/>
        </w:rPr>
        <w:t xml:space="preserve">, τα ΗΑΕ με 135,5 εκ. </w:t>
      </w:r>
      <w:proofErr w:type="spellStart"/>
      <w:r>
        <w:rPr>
          <w:rFonts w:ascii="Arial" w:hAnsi="Arial" w:cs="Arial"/>
          <w:sz w:val="20"/>
          <w:szCs w:val="20"/>
        </w:rPr>
        <w:t>τόννους</w:t>
      </w:r>
      <w:proofErr w:type="spellEnd"/>
      <w:r>
        <w:rPr>
          <w:rFonts w:ascii="Arial" w:hAnsi="Arial" w:cs="Arial"/>
          <w:sz w:val="20"/>
          <w:szCs w:val="20"/>
        </w:rPr>
        <w:t xml:space="preserve"> και την Βραζιλία με 89,2 εκ. </w:t>
      </w:r>
      <w:proofErr w:type="spellStart"/>
      <w:r>
        <w:rPr>
          <w:rFonts w:ascii="Arial" w:hAnsi="Arial" w:cs="Arial"/>
          <w:sz w:val="20"/>
          <w:szCs w:val="20"/>
        </w:rPr>
        <w:t>τόννους</w:t>
      </w:r>
      <w:proofErr w:type="spellEnd"/>
      <w:r>
        <w:rPr>
          <w:rFonts w:ascii="Arial" w:hAnsi="Arial" w:cs="Arial"/>
          <w:sz w:val="20"/>
          <w:szCs w:val="20"/>
        </w:rPr>
        <w:t>.</w:t>
      </w:r>
    </w:p>
    <w:p w14:paraId="59CCE6FB" w14:textId="0136B7E7" w:rsidR="00FB3872" w:rsidRDefault="00FB3872" w:rsidP="003B796D">
      <w:pPr>
        <w:spacing w:after="200"/>
        <w:rPr>
          <w:rFonts w:ascii="Arial" w:hAnsi="Arial" w:cs="Arial"/>
          <w:sz w:val="20"/>
          <w:szCs w:val="20"/>
        </w:rPr>
      </w:pPr>
    </w:p>
    <w:p w14:paraId="5B14D05A" w14:textId="497BEAC9" w:rsidR="00FB3872" w:rsidRDefault="00FB3872" w:rsidP="003B796D">
      <w:pPr>
        <w:spacing w:after="200"/>
        <w:rPr>
          <w:rFonts w:ascii="Arial" w:hAnsi="Arial" w:cs="Arial"/>
          <w:sz w:val="20"/>
          <w:szCs w:val="20"/>
        </w:rPr>
      </w:pPr>
    </w:p>
    <w:p w14:paraId="60585307" w14:textId="0227AD60" w:rsidR="00FB3872" w:rsidRDefault="00C853EF" w:rsidP="003B796D">
      <w:pPr>
        <w:spacing w:after="200"/>
        <w:rPr>
          <w:rFonts w:ascii="Arial" w:hAnsi="Arial" w:cs="Arial"/>
          <w:sz w:val="20"/>
          <w:szCs w:val="20"/>
        </w:rPr>
      </w:pPr>
      <w:r w:rsidRPr="00E433AA">
        <w:rPr>
          <w:noProof/>
        </w:rPr>
        <w:drawing>
          <wp:anchor distT="0" distB="0" distL="457200" distR="114300" simplePos="0" relativeHeight="251662336" behindDoc="0" locked="0" layoutInCell="1" allowOverlap="1" wp14:anchorId="4F992028" wp14:editId="4732E995">
            <wp:simplePos x="0" y="0"/>
            <wp:positionH relativeFrom="margin">
              <wp:align>right</wp:align>
            </wp:positionH>
            <wp:positionV relativeFrom="paragraph">
              <wp:posOffset>14605</wp:posOffset>
            </wp:positionV>
            <wp:extent cx="1636776" cy="3758184"/>
            <wp:effectExtent l="0" t="0" r="1905" b="0"/>
            <wp:wrapThrough wrapText="bothSides">
              <wp:wrapPolygon edited="0">
                <wp:start x="0" y="0"/>
                <wp:lineTo x="0" y="21461"/>
                <wp:lineTo x="21374" y="21461"/>
                <wp:lineTo x="2137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6776" cy="3758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F7452" w14:textId="3D0EF707" w:rsidR="00D83D9C" w:rsidRDefault="00D83D9C" w:rsidP="003B796D">
      <w:pPr>
        <w:spacing w:after="200"/>
        <w:rPr>
          <w:rFonts w:ascii="Arial" w:hAnsi="Arial" w:cs="Arial"/>
          <w:sz w:val="20"/>
          <w:szCs w:val="20"/>
        </w:rPr>
      </w:pPr>
    </w:p>
    <w:p w14:paraId="10C53FC0" w14:textId="5693B3B2" w:rsidR="00D83D9C" w:rsidRDefault="00D83D9C" w:rsidP="003B796D">
      <w:pPr>
        <w:spacing w:after="200"/>
        <w:rPr>
          <w:rFonts w:ascii="Arial" w:hAnsi="Arial" w:cs="Arial"/>
          <w:sz w:val="20"/>
          <w:szCs w:val="20"/>
        </w:rPr>
      </w:pPr>
    </w:p>
    <w:p w14:paraId="7FA25471" w14:textId="118E82D7" w:rsidR="00E433AA" w:rsidRDefault="00E433AA" w:rsidP="003B796D">
      <w:pPr>
        <w:spacing w:after="200"/>
        <w:rPr>
          <w:rFonts w:ascii="Arial" w:hAnsi="Arial" w:cs="Arial"/>
          <w:sz w:val="20"/>
          <w:szCs w:val="20"/>
        </w:rPr>
      </w:pPr>
    </w:p>
    <w:p w14:paraId="233E3B76" w14:textId="257BF10A" w:rsidR="00E433AA" w:rsidRDefault="00E433AA" w:rsidP="003B796D">
      <w:pPr>
        <w:spacing w:after="200"/>
        <w:rPr>
          <w:rFonts w:ascii="Arial" w:hAnsi="Arial" w:cs="Arial"/>
          <w:sz w:val="20"/>
          <w:szCs w:val="20"/>
        </w:rPr>
      </w:pPr>
    </w:p>
    <w:p w14:paraId="21AAB36F" w14:textId="57B12E2C" w:rsidR="00E433AA" w:rsidRDefault="00E433AA" w:rsidP="003B796D">
      <w:pPr>
        <w:spacing w:after="200"/>
        <w:rPr>
          <w:rFonts w:ascii="Arial" w:hAnsi="Arial" w:cs="Arial"/>
          <w:sz w:val="20"/>
          <w:szCs w:val="20"/>
        </w:rPr>
      </w:pPr>
      <w:r>
        <w:rPr>
          <w:rFonts w:ascii="Arial" w:hAnsi="Arial" w:cs="Arial"/>
          <w:sz w:val="20"/>
          <w:szCs w:val="20"/>
        </w:rPr>
        <w:t>ΕΙΣΑΓΩΓΕΣ</w:t>
      </w:r>
      <w:r w:rsidRPr="00E433AA">
        <w:rPr>
          <w:rFonts w:ascii="Arial" w:hAnsi="Arial" w:cs="Arial"/>
          <w:sz w:val="20"/>
          <w:szCs w:val="20"/>
        </w:rPr>
        <w:t>:</w:t>
      </w:r>
    </w:p>
    <w:p w14:paraId="16687CA1" w14:textId="1B3F9510" w:rsidR="006A1EF4" w:rsidRDefault="00E433AA" w:rsidP="003B796D">
      <w:pPr>
        <w:spacing w:after="200"/>
        <w:jc w:val="both"/>
        <w:rPr>
          <w:rFonts w:ascii="Arial" w:hAnsi="Arial" w:cs="Arial"/>
          <w:sz w:val="20"/>
          <w:szCs w:val="20"/>
        </w:rPr>
      </w:pPr>
      <w:r>
        <w:rPr>
          <w:rFonts w:ascii="Arial" w:hAnsi="Arial" w:cs="Arial"/>
          <w:sz w:val="20"/>
          <w:szCs w:val="20"/>
        </w:rPr>
        <w:t xml:space="preserve">Σε ό,τι αφορά τις παγκόσμιες εισαγωγές αργού πετρελαίου, </w:t>
      </w:r>
      <w:r w:rsidR="006A1EF4">
        <w:rPr>
          <w:rFonts w:ascii="Arial" w:hAnsi="Arial" w:cs="Arial"/>
          <w:sz w:val="20"/>
          <w:szCs w:val="20"/>
        </w:rPr>
        <w:t>η Κίνα</w:t>
      </w:r>
      <w:r>
        <w:rPr>
          <w:rFonts w:ascii="Arial" w:hAnsi="Arial" w:cs="Arial"/>
          <w:sz w:val="20"/>
          <w:szCs w:val="20"/>
        </w:rPr>
        <w:t xml:space="preserve"> πραγματοποίησε το 2024 τις υψηλότερες ε</w:t>
      </w:r>
      <w:r w:rsidR="006A1EF4">
        <w:rPr>
          <w:rFonts w:ascii="Arial" w:hAnsi="Arial" w:cs="Arial"/>
          <w:sz w:val="20"/>
          <w:szCs w:val="20"/>
        </w:rPr>
        <w:t>ισ</w:t>
      </w:r>
      <w:r>
        <w:rPr>
          <w:rFonts w:ascii="Arial" w:hAnsi="Arial" w:cs="Arial"/>
          <w:sz w:val="20"/>
          <w:szCs w:val="20"/>
        </w:rPr>
        <w:t xml:space="preserve">αγωγές με </w:t>
      </w:r>
      <w:r w:rsidR="006A1EF4">
        <w:rPr>
          <w:rFonts w:ascii="Arial" w:hAnsi="Arial" w:cs="Arial"/>
          <w:sz w:val="20"/>
          <w:szCs w:val="20"/>
        </w:rPr>
        <w:t>553,5</w:t>
      </w:r>
      <w:r>
        <w:rPr>
          <w:rFonts w:ascii="Arial" w:hAnsi="Arial" w:cs="Arial"/>
          <w:sz w:val="20"/>
          <w:szCs w:val="20"/>
        </w:rPr>
        <w:t xml:space="preserve"> εκ. </w:t>
      </w:r>
      <w:proofErr w:type="spellStart"/>
      <w:r>
        <w:rPr>
          <w:rFonts w:ascii="Arial" w:hAnsi="Arial" w:cs="Arial"/>
          <w:sz w:val="20"/>
          <w:szCs w:val="20"/>
        </w:rPr>
        <w:t>τόννους</w:t>
      </w:r>
      <w:proofErr w:type="spellEnd"/>
      <w:r>
        <w:rPr>
          <w:rFonts w:ascii="Arial" w:hAnsi="Arial" w:cs="Arial"/>
          <w:sz w:val="20"/>
          <w:szCs w:val="20"/>
        </w:rPr>
        <w:t xml:space="preserve">, ακολουθούμενος από τις ΗΠΑ με </w:t>
      </w:r>
      <w:r w:rsidR="006A1EF4">
        <w:rPr>
          <w:rFonts w:ascii="Arial" w:hAnsi="Arial" w:cs="Arial"/>
          <w:sz w:val="20"/>
          <w:szCs w:val="20"/>
        </w:rPr>
        <w:t xml:space="preserve">375,7 </w:t>
      </w:r>
      <w:r>
        <w:rPr>
          <w:rFonts w:ascii="Arial" w:hAnsi="Arial" w:cs="Arial"/>
          <w:sz w:val="20"/>
          <w:szCs w:val="20"/>
        </w:rPr>
        <w:t xml:space="preserve">εκ. </w:t>
      </w:r>
      <w:proofErr w:type="spellStart"/>
      <w:r>
        <w:rPr>
          <w:rFonts w:ascii="Arial" w:hAnsi="Arial" w:cs="Arial"/>
          <w:sz w:val="20"/>
          <w:szCs w:val="20"/>
        </w:rPr>
        <w:t>τόννους</w:t>
      </w:r>
      <w:proofErr w:type="spellEnd"/>
      <w:r>
        <w:rPr>
          <w:rFonts w:ascii="Arial" w:hAnsi="Arial" w:cs="Arial"/>
          <w:sz w:val="20"/>
          <w:szCs w:val="20"/>
        </w:rPr>
        <w:t xml:space="preserve">, την </w:t>
      </w:r>
      <w:r w:rsidR="006A1EF4">
        <w:rPr>
          <w:rFonts w:ascii="Arial" w:hAnsi="Arial" w:cs="Arial"/>
          <w:sz w:val="20"/>
          <w:szCs w:val="20"/>
        </w:rPr>
        <w:t>Ινδία</w:t>
      </w:r>
      <w:r>
        <w:rPr>
          <w:rFonts w:ascii="Arial" w:hAnsi="Arial" w:cs="Arial"/>
          <w:sz w:val="20"/>
          <w:szCs w:val="20"/>
        </w:rPr>
        <w:t xml:space="preserve"> με 2</w:t>
      </w:r>
      <w:r w:rsidR="006A1EF4">
        <w:rPr>
          <w:rFonts w:ascii="Arial" w:hAnsi="Arial" w:cs="Arial"/>
          <w:sz w:val="20"/>
          <w:szCs w:val="20"/>
        </w:rPr>
        <w:t>40,1</w:t>
      </w:r>
      <w:r>
        <w:rPr>
          <w:rFonts w:ascii="Arial" w:hAnsi="Arial" w:cs="Arial"/>
          <w:sz w:val="20"/>
          <w:szCs w:val="20"/>
        </w:rPr>
        <w:t xml:space="preserve"> εκ. </w:t>
      </w:r>
      <w:proofErr w:type="spellStart"/>
      <w:r>
        <w:rPr>
          <w:rFonts w:ascii="Arial" w:hAnsi="Arial" w:cs="Arial"/>
          <w:sz w:val="20"/>
          <w:szCs w:val="20"/>
        </w:rPr>
        <w:t>τόννους</w:t>
      </w:r>
      <w:proofErr w:type="spellEnd"/>
      <w:r>
        <w:rPr>
          <w:rFonts w:ascii="Arial" w:hAnsi="Arial" w:cs="Arial"/>
          <w:sz w:val="20"/>
          <w:szCs w:val="20"/>
        </w:rPr>
        <w:t xml:space="preserve">, </w:t>
      </w:r>
      <w:r w:rsidR="006A1EF4">
        <w:rPr>
          <w:rFonts w:ascii="Arial" w:hAnsi="Arial" w:cs="Arial"/>
          <w:sz w:val="20"/>
          <w:szCs w:val="20"/>
        </w:rPr>
        <w:t xml:space="preserve">την </w:t>
      </w:r>
      <w:proofErr w:type="spellStart"/>
      <w:r w:rsidR="006A1EF4">
        <w:rPr>
          <w:rFonts w:ascii="Arial" w:hAnsi="Arial" w:cs="Arial"/>
          <w:sz w:val="20"/>
          <w:szCs w:val="20"/>
        </w:rPr>
        <w:t>Ν.Κορέα</w:t>
      </w:r>
      <w:proofErr w:type="spellEnd"/>
      <w:r w:rsidR="006A1EF4">
        <w:rPr>
          <w:rFonts w:ascii="Arial" w:hAnsi="Arial" w:cs="Arial"/>
          <w:sz w:val="20"/>
          <w:szCs w:val="20"/>
        </w:rPr>
        <w:t xml:space="preserve"> </w:t>
      </w:r>
      <w:r>
        <w:rPr>
          <w:rFonts w:ascii="Arial" w:hAnsi="Arial" w:cs="Arial"/>
          <w:sz w:val="20"/>
          <w:szCs w:val="20"/>
        </w:rPr>
        <w:t>με 13</w:t>
      </w:r>
      <w:r w:rsidR="006A1EF4">
        <w:rPr>
          <w:rFonts w:ascii="Arial" w:hAnsi="Arial" w:cs="Arial"/>
          <w:sz w:val="20"/>
          <w:szCs w:val="20"/>
        </w:rPr>
        <w:t>7</w:t>
      </w:r>
      <w:r>
        <w:rPr>
          <w:rFonts w:ascii="Arial" w:hAnsi="Arial" w:cs="Arial"/>
          <w:sz w:val="20"/>
          <w:szCs w:val="20"/>
        </w:rPr>
        <w:t>,</w:t>
      </w:r>
      <w:r w:rsidR="006A1EF4">
        <w:rPr>
          <w:rFonts w:ascii="Arial" w:hAnsi="Arial" w:cs="Arial"/>
          <w:sz w:val="20"/>
          <w:szCs w:val="20"/>
        </w:rPr>
        <w:t>2</w:t>
      </w:r>
      <w:r>
        <w:rPr>
          <w:rFonts w:ascii="Arial" w:hAnsi="Arial" w:cs="Arial"/>
          <w:sz w:val="20"/>
          <w:szCs w:val="20"/>
        </w:rPr>
        <w:t xml:space="preserve"> εκ. </w:t>
      </w:r>
      <w:proofErr w:type="spellStart"/>
      <w:r>
        <w:rPr>
          <w:rFonts w:ascii="Arial" w:hAnsi="Arial" w:cs="Arial"/>
          <w:sz w:val="20"/>
          <w:szCs w:val="20"/>
        </w:rPr>
        <w:t>τόννους</w:t>
      </w:r>
      <w:proofErr w:type="spellEnd"/>
      <w:r>
        <w:rPr>
          <w:rFonts w:ascii="Arial" w:hAnsi="Arial" w:cs="Arial"/>
          <w:sz w:val="20"/>
          <w:szCs w:val="20"/>
        </w:rPr>
        <w:t xml:space="preserve"> και την </w:t>
      </w:r>
      <w:r w:rsidR="006A1EF4">
        <w:rPr>
          <w:rFonts w:ascii="Arial" w:hAnsi="Arial" w:cs="Arial"/>
          <w:sz w:val="20"/>
          <w:szCs w:val="20"/>
        </w:rPr>
        <w:t>Ιαπωνία με 115</w:t>
      </w:r>
      <w:r>
        <w:rPr>
          <w:rFonts w:ascii="Arial" w:hAnsi="Arial" w:cs="Arial"/>
          <w:sz w:val="20"/>
          <w:szCs w:val="20"/>
        </w:rPr>
        <w:t xml:space="preserve"> εκ. </w:t>
      </w:r>
      <w:proofErr w:type="spellStart"/>
      <w:r>
        <w:rPr>
          <w:rFonts w:ascii="Arial" w:hAnsi="Arial" w:cs="Arial"/>
          <w:sz w:val="20"/>
          <w:szCs w:val="20"/>
        </w:rPr>
        <w:t>τόννους</w:t>
      </w:r>
      <w:proofErr w:type="spellEnd"/>
      <w:r>
        <w:rPr>
          <w:rFonts w:ascii="Arial" w:hAnsi="Arial" w:cs="Arial"/>
          <w:sz w:val="20"/>
          <w:szCs w:val="20"/>
        </w:rPr>
        <w:t>.</w:t>
      </w:r>
    </w:p>
    <w:p w14:paraId="6DB4D5F4" w14:textId="77777777" w:rsidR="00752461" w:rsidRDefault="00752461" w:rsidP="003B796D">
      <w:pPr>
        <w:spacing w:after="200"/>
        <w:rPr>
          <w:rFonts w:ascii="Arial" w:hAnsi="Arial" w:cs="Arial"/>
          <w:sz w:val="16"/>
          <w:szCs w:val="16"/>
        </w:rPr>
      </w:pPr>
    </w:p>
    <w:p w14:paraId="7DD24E89" w14:textId="0737CB55" w:rsidR="00752461" w:rsidRDefault="00752461" w:rsidP="003B796D">
      <w:pPr>
        <w:spacing w:after="200"/>
        <w:rPr>
          <w:rFonts w:ascii="Arial" w:hAnsi="Arial" w:cs="Arial"/>
          <w:sz w:val="16"/>
          <w:szCs w:val="16"/>
        </w:rPr>
      </w:pPr>
      <w:r w:rsidRPr="00752461">
        <w:rPr>
          <w:rFonts w:ascii="Arial" w:hAnsi="Arial" w:cs="Arial"/>
          <w:sz w:val="16"/>
          <w:szCs w:val="16"/>
        </w:rPr>
        <w:t>Πηγή:</w:t>
      </w:r>
      <w:r w:rsidRPr="00752461">
        <w:rPr>
          <w:sz w:val="16"/>
          <w:szCs w:val="16"/>
        </w:rPr>
        <w:t xml:space="preserve"> </w:t>
      </w:r>
      <w:r w:rsidRPr="00752461">
        <w:rPr>
          <w:rFonts w:ascii="Arial" w:hAnsi="Arial" w:cs="Arial"/>
          <w:sz w:val="16"/>
          <w:szCs w:val="16"/>
          <w:lang w:val="en-US"/>
        </w:rPr>
        <w:t>UN</w:t>
      </w:r>
      <w:r w:rsidRPr="00752461">
        <w:rPr>
          <w:rFonts w:ascii="Arial" w:hAnsi="Arial" w:cs="Arial"/>
          <w:sz w:val="16"/>
          <w:szCs w:val="16"/>
        </w:rPr>
        <w:t xml:space="preserve"> </w:t>
      </w:r>
      <w:r w:rsidRPr="00752461">
        <w:rPr>
          <w:rFonts w:ascii="Arial" w:hAnsi="Arial" w:cs="Arial"/>
          <w:sz w:val="16"/>
          <w:szCs w:val="16"/>
          <w:lang w:val="en-US"/>
        </w:rPr>
        <w:t>COMTRADE</w:t>
      </w:r>
      <w:r w:rsidRPr="00752461">
        <w:rPr>
          <w:rFonts w:ascii="Arial" w:hAnsi="Arial" w:cs="Arial"/>
          <w:sz w:val="16"/>
          <w:szCs w:val="16"/>
        </w:rPr>
        <w:t xml:space="preserve"> και </w:t>
      </w:r>
      <w:r w:rsidRPr="00752461">
        <w:rPr>
          <w:rFonts w:ascii="Arial" w:hAnsi="Arial" w:cs="Arial"/>
          <w:sz w:val="16"/>
          <w:szCs w:val="16"/>
          <w:lang w:val="en-US"/>
        </w:rPr>
        <w:t>ITC</w:t>
      </w:r>
      <w:r w:rsidRPr="00752461">
        <w:rPr>
          <w:rFonts w:ascii="Arial" w:hAnsi="Arial" w:cs="Arial"/>
          <w:sz w:val="16"/>
          <w:szCs w:val="16"/>
        </w:rPr>
        <w:br/>
        <w:t>Επεξεργασία: Γραφείο ΟΕΥ Ουάσιγκτων</w:t>
      </w:r>
    </w:p>
    <w:p w14:paraId="028029F7" w14:textId="09D6910C" w:rsidR="00C853EF" w:rsidRDefault="00C853EF" w:rsidP="003B796D">
      <w:pPr>
        <w:spacing w:after="200"/>
        <w:rPr>
          <w:rFonts w:ascii="Arial" w:hAnsi="Arial" w:cs="Arial"/>
          <w:sz w:val="16"/>
          <w:szCs w:val="16"/>
        </w:rPr>
      </w:pPr>
    </w:p>
    <w:p w14:paraId="07872234" w14:textId="6637C8C5" w:rsidR="00C853EF" w:rsidRDefault="00C853EF" w:rsidP="003B796D">
      <w:pPr>
        <w:spacing w:after="200"/>
        <w:rPr>
          <w:rFonts w:ascii="Arial" w:hAnsi="Arial" w:cs="Arial"/>
          <w:sz w:val="16"/>
          <w:szCs w:val="16"/>
        </w:rPr>
      </w:pPr>
    </w:p>
    <w:p w14:paraId="051E1EBD" w14:textId="6F8DFE31" w:rsidR="00C853EF" w:rsidRDefault="00C853EF" w:rsidP="003B796D">
      <w:pPr>
        <w:spacing w:after="200"/>
        <w:rPr>
          <w:rFonts w:ascii="Arial" w:hAnsi="Arial" w:cs="Arial"/>
          <w:sz w:val="16"/>
          <w:szCs w:val="16"/>
        </w:rPr>
      </w:pPr>
    </w:p>
    <w:p w14:paraId="699A9D3F" w14:textId="77777777" w:rsidR="00C853EF" w:rsidRDefault="00C853EF" w:rsidP="003B796D">
      <w:pPr>
        <w:spacing w:after="200"/>
        <w:jc w:val="both"/>
        <w:rPr>
          <w:rFonts w:ascii="Arial" w:hAnsi="Arial" w:cs="Arial"/>
          <w:sz w:val="20"/>
          <w:szCs w:val="20"/>
        </w:rPr>
      </w:pPr>
    </w:p>
    <w:p w14:paraId="5F15EA06" w14:textId="77777777" w:rsidR="00C56596" w:rsidRDefault="00C56596" w:rsidP="003B796D">
      <w:pPr>
        <w:spacing w:after="200"/>
        <w:jc w:val="both"/>
        <w:rPr>
          <w:rFonts w:ascii="Arial" w:hAnsi="Arial" w:cs="Arial"/>
          <w:sz w:val="20"/>
          <w:szCs w:val="20"/>
        </w:rPr>
      </w:pPr>
    </w:p>
    <w:p w14:paraId="3FB8810D" w14:textId="77777777" w:rsidR="00C56596" w:rsidRDefault="00C56596">
      <w:pPr>
        <w:spacing w:after="200" w:line="276" w:lineRule="auto"/>
        <w:rPr>
          <w:rFonts w:ascii="Arial" w:hAnsi="Arial" w:cs="Arial"/>
          <w:sz w:val="20"/>
          <w:szCs w:val="20"/>
        </w:rPr>
      </w:pPr>
      <w:r>
        <w:rPr>
          <w:rFonts w:ascii="Arial" w:hAnsi="Arial" w:cs="Arial"/>
          <w:sz w:val="20"/>
          <w:szCs w:val="20"/>
        </w:rPr>
        <w:br w:type="page"/>
      </w:r>
    </w:p>
    <w:p w14:paraId="2193F796" w14:textId="29F75184" w:rsidR="00C56596" w:rsidRPr="00C56596" w:rsidRDefault="00C56596" w:rsidP="00C56596">
      <w:pPr>
        <w:spacing w:after="200"/>
        <w:ind w:hanging="360"/>
        <w:jc w:val="both"/>
        <w:rPr>
          <w:rFonts w:ascii="Arial" w:hAnsi="Arial" w:cs="Arial"/>
          <w:b/>
          <w:sz w:val="20"/>
          <w:szCs w:val="20"/>
        </w:rPr>
      </w:pPr>
      <w:r w:rsidRPr="00C56596">
        <w:rPr>
          <w:rFonts w:ascii="Arial" w:hAnsi="Arial" w:cs="Arial"/>
          <w:b/>
          <w:sz w:val="20"/>
          <w:szCs w:val="20"/>
        </w:rPr>
        <w:lastRenderedPageBreak/>
        <w:t>ΣΤ.</w:t>
      </w:r>
      <w:r w:rsidRPr="00C56596">
        <w:rPr>
          <w:rFonts w:ascii="Arial" w:hAnsi="Arial" w:cs="Arial"/>
          <w:b/>
          <w:sz w:val="20"/>
          <w:szCs w:val="20"/>
        </w:rPr>
        <w:tab/>
        <w:t>Μελλοντικές δυνατότητες</w:t>
      </w:r>
    </w:p>
    <w:p w14:paraId="383EBA3F" w14:textId="2C4808D7" w:rsidR="00C56596" w:rsidRPr="008F3A20" w:rsidRDefault="00C56596" w:rsidP="00C56596">
      <w:pPr>
        <w:spacing w:after="120"/>
        <w:jc w:val="both"/>
        <w:rPr>
          <w:rFonts w:ascii="Arial" w:hAnsi="Arial" w:cs="Arial"/>
          <w:sz w:val="20"/>
          <w:szCs w:val="20"/>
        </w:rPr>
      </w:pPr>
      <w:r>
        <w:rPr>
          <w:rFonts w:ascii="Arial" w:hAnsi="Arial" w:cs="Arial"/>
          <w:sz w:val="20"/>
          <w:szCs w:val="20"/>
          <w:lang w:val="en-US"/>
        </w:rPr>
        <w:t>Chevron</w:t>
      </w:r>
      <w:r w:rsidRPr="00C56596">
        <w:rPr>
          <w:rFonts w:ascii="Arial" w:hAnsi="Arial" w:cs="Arial"/>
          <w:sz w:val="20"/>
          <w:szCs w:val="20"/>
        </w:rPr>
        <w:t xml:space="preserve">: </w:t>
      </w:r>
      <w:r w:rsidRPr="00F323E8">
        <w:rPr>
          <w:rFonts w:ascii="Arial" w:hAnsi="Arial" w:cs="Arial"/>
          <w:sz w:val="20"/>
          <w:szCs w:val="20"/>
        </w:rPr>
        <w:t xml:space="preserve">Αναλυτές εκτιμούν </w:t>
      </w:r>
      <w:r>
        <w:rPr>
          <w:rFonts w:ascii="Arial" w:hAnsi="Arial" w:cs="Arial"/>
          <w:sz w:val="20"/>
          <w:szCs w:val="20"/>
        </w:rPr>
        <w:t>ότι</w:t>
      </w:r>
      <w:r w:rsidRPr="00F323E8">
        <w:rPr>
          <w:rFonts w:ascii="Arial" w:hAnsi="Arial" w:cs="Arial"/>
          <w:sz w:val="20"/>
          <w:szCs w:val="20"/>
        </w:rPr>
        <w:t xml:space="preserve"> </w:t>
      </w:r>
      <w:r>
        <w:rPr>
          <w:rFonts w:ascii="Arial" w:hAnsi="Arial" w:cs="Arial"/>
          <w:sz w:val="20"/>
          <w:szCs w:val="20"/>
        </w:rPr>
        <w:t>μπορεί</w:t>
      </w:r>
      <w:r w:rsidRPr="00F323E8">
        <w:rPr>
          <w:rFonts w:ascii="Arial" w:hAnsi="Arial" w:cs="Arial"/>
          <w:sz w:val="20"/>
          <w:szCs w:val="20"/>
        </w:rPr>
        <w:t xml:space="preserve"> </w:t>
      </w:r>
      <w:r>
        <w:rPr>
          <w:rFonts w:ascii="Arial" w:hAnsi="Arial" w:cs="Arial"/>
          <w:sz w:val="20"/>
          <w:szCs w:val="20"/>
        </w:rPr>
        <w:t>να</w:t>
      </w:r>
      <w:r w:rsidRPr="00F323E8">
        <w:rPr>
          <w:rFonts w:ascii="Arial" w:hAnsi="Arial" w:cs="Arial"/>
          <w:sz w:val="20"/>
          <w:szCs w:val="20"/>
        </w:rPr>
        <w:t xml:space="preserve"> </w:t>
      </w:r>
      <w:r>
        <w:rPr>
          <w:rFonts w:ascii="Arial" w:hAnsi="Arial" w:cs="Arial"/>
          <w:sz w:val="20"/>
          <w:szCs w:val="20"/>
        </w:rPr>
        <w:t>αυξήσει</w:t>
      </w:r>
      <w:r w:rsidRPr="00F323E8">
        <w:rPr>
          <w:rFonts w:ascii="Arial" w:hAnsi="Arial" w:cs="Arial"/>
          <w:sz w:val="20"/>
          <w:szCs w:val="20"/>
        </w:rPr>
        <w:t xml:space="preserve"> </w:t>
      </w:r>
      <w:r>
        <w:rPr>
          <w:rFonts w:ascii="Arial" w:hAnsi="Arial" w:cs="Arial"/>
          <w:sz w:val="20"/>
          <w:szCs w:val="20"/>
        </w:rPr>
        <w:t>την</w:t>
      </w:r>
      <w:r w:rsidRPr="00F323E8">
        <w:rPr>
          <w:rFonts w:ascii="Arial" w:hAnsi="Arial" w:cs="Arial"/>
          <w:sz w:val="20"/>
          <w:szCs w:val="20"/>
        </w:rPr>
        <w:t xml:space="preserve"> </w:t>
      </w:r>
      <w:r>
        <w:rPr>
          <w:rFonts w:ascii="Arial" w:hAnsi="Arial" w:cs="Arial"/>
          <w:sz w:val="20"/>
          <w:szCs w:val="20"/>
        </w:rPr>
        <w:t>παραγωγή</w:t>
      </w:r>
      <w:r w:rsidRPr="00F323E8">
        <w:rPr>
          <w:rFonts w:ascii="Arial" w:hAnsi="Arial" w:cs="Arial"/>
          <w:sz w:val="20"/>
          <w:szCs w:val="20"/>
        </w:rPr>
        <w:t xml:space="preserve"> </w:t>
      </w:r>
      <w:r>
        <w:rPr>
          <w:rFonts w:ascii="Arial" w:hAnsi="Arial" w:cs="Arial"/>
          <w:sz w:val="20"/>
          <w:szCs w:val="20"/>
        </w:rPr>
        <w:t>σε</w:t>
      </w:r>
      <w:r w:rsidRPr="00F323E8">
        <w:rPr>
          <w:rFonts w:ascii="Arial" w:hAnsi="Arial" w:cs="Arial"/>
          <w:sz w:val="20"/>
          <w:szCs w:val="20"/>
        </w:rPr>
        <w:t xml:space="preserve"> 1,5 </w:t>
      </w:r>
      <w:r>
        <w:rPr>
          <w:rFonts w:ascii="Arial" w:hAnsi="Arial" w:cs="Arial"/>
          <w:sz w:val="20"/>
          <w:szCs w:val="20"/>
        </w:rPr>
        <w:t>εκ</w:t>
      </w:r>
      <w:r w:rsidRPr="00F323E8">
        <w:rPr>
          <w:rFonts w:ascii="Arial" w:hAnsi="Arial" w:cs="Arial"/>
          <w:sz w:val="20"/>
          <w:szCs w:val="20"/>
        </w:rPr>
        <w:t xml:space="preserve">. </w:t>
      </w:r>
      <w:r w:rsidRPr="00F323E8">
        <w:rPr>
          <w:rFonts w:ascii="Arial" w:hAnsi="Arial" w:cs="Arial"/>
          <w:sz w:val="20"/>
          <w:szCs w:val="20"/>
          <w:lang w:val="en-US"/>
        </w:rPr>
        <w:t>bpd </w:t>
      </w:r>
      <w:r>
        <w:rPr>
          <w:rFonts w:ascii="Arial" w:hAnsi="Arial" w:cs="Arial"/>
          <w:sz w:val="20"/>
          <w:szCs w:val="20"/>
        </w:rPr>
        <w:t>εντός</w:t>
      </w:r>
      <w:r w:rsidRPr="00F323E8">
        <w:rPr>
          <w:rFonts w:ascii="Arial" w:hAnsi="Arial" w:cs="Arial"/>
          <w:sz w:val="20"/>
          <w:szCs w:val="20"/>
        </w:rPr>
        <w:t xml:space="preserve"> 18 </w:t>
      </w:r>
      <w:r>
        <w:rPr>
          <w:rFonts w:ascii="Arial" w:hAnsi="Arial" w:cs="Arial"/>
          <w:sz w:val="20"/>
          <w:szCs w:val="20"/>
        </w:rPr>
        <w:t>μηνών</w:t>
      </w:r>
      <w:r w:rsidRPr="00F323E8">
        <w:rPr>
          <w:rFonts w:ascii="Arial" w:hAnsi="Arial" w:cs="Arial"/>
          <w:sz w:val="20"/>
          <w:szCs w:val="20"/>
        </w:rPr>
        <w:t xml:space="preserve"> </w:t>
      </w:r>
      <w:r>
        <w:rPr>
          <w:rFonts w:ascii="Arial" w:hAnsi="Arial" w:cs="Arial"/>
          <w:sz w:val="20"/>
          <w:szCs w:val="20"/>
        </w:rPr>
        <w:t>με</w:t>
      </w:r>
      <w:r w:rsidRPr="00F323E8">
        <w:rPr>
          <w:rFonts w:ascii="Arial" w:hAnsi="Arial" w:cs="Arial"/>
          <w:sz w:val="20"/>
          <w:szCs w:val="20"/>
        </w:rPr>
        <w:t xml:space="preserve"> </w:t>
      </w:r>
      <w:r>
        <w:rPr>
          <w:rFonts w:ascii="Arial" w:hAnsi="Arial" w:cs="Arial"/>
          <w:sz w:val="20"/>
          <w:szCs w:val="20"/>
        </w:rPr>
        <w:t xml:space="preserve">απαιτούμενη επένδυση περίπου </w:t>
      </w:r>
      <w:r w:rsidRPr="00F323E8">
        <w:rPr>
          <w:rFonts w:ascii="Arial" w:hAnsi="Arial" w:cs="Arial"/>
          <w:sz w:val="20"/>
          <w:szCs w:val="20"/>
        </w:rPr>
        <w:t xml:space="preserve">$7 </w:t>
      </w:r>
      <w:r>
        <w:rPr>
          <w:rFonts w:ascii="Arial" w:hAnsi="Arial" w:cs="Arial"/>
          <w:sz w:val="20"/>
          <w:szCs w:val="20"/>
        </w:rPr>
        <w:t>δισ.</w:t>
      </w:r>
      <w:r w:rsidRPr="00F323E8">
        <w:rPr>
          <w:rFonts w:ascii="Arial" w:hAnsi="Arial" w:cs="Arial"/>
          <w:sz w:val="20"/>
          <w:szCs w:val="20"/>
          <w:lang w:val="en-US"/>
        </w:rPr>
        <w:t> </w:t>
      </w:r>
      <w:r>
        <w:rPr>
          <w:rFonts w:ascii="Arial" w:hAnsi="Arial" w:cs="Arial"/>
          <w:sz w:val="20"/>
          <w:szCs w:val="20"/>
        </w:rPr>
        <w:t>Μετά</w:t>
      </w:r>
      <w:r w:rsidRPr="00F323E8">
        <w:rPr>
          <w:rFonts w:ascii="Arial" w:hAnsi="Arial" w:cs="Arial"/>
          <w:sz w:val="20"/>
          <w:szCs w:val="20"/>
        </w:rPr>
        <w:t xml:space="preserve"> </w:t>
      </w:r>
      <w:r>
        <w:rPr>
          <w:rFonts w:ascii="Arial" w:hAnsi="Arial" w:cs="Arial"/>
          <w:sz w:val="20"/>
          <w:szCs w:val="20"/>
        </w:rPr>
        <w:t>την</w:t>
      </w:r>
      <w:r w:rsidRPr="00F323E8">
        <w:rPr>
          <w:rFonts w:ascii="Arial" w:hAnsi="Arial" w:cs="Arial"/>
          <w:sz w:val="20"/>
          <w:szCs w:val="20"/>
        </w:rPr>
        <w:t xml:space="preserve"> </w:t>
      </w:r>
      <w:r>
        <w:rPr>
          <w:rFonts w:ascii="Arial" w:hAnsi="Arial" w:cs="Arial"/>
          <w:sz w:val="20"/>
          <w:szCs w:val="20"/>
        </w:rPr>
        <w:t>προσωρινή</w:t>
      </w:r>
      <w:r w:rsidRPr="00F323E8">
        <w:rPr>
          <w:rFonts w:ascii="Arial" w:hAnsi="Arial" w:cs="Arial"/>
          <w:sz w:val="20"/>
          <w:szCs w:val="20"/>
        </w:rPr>
        <w:t xml:space="preserve"> </w:t>
      </w:r>
      <w:r>
        <w:rPr>
          <w:rFonts w:ascii="Arial" w:hAnsi="Arial" w:cs="Arial"/>
          <w:sz w:val="20"/>
          <w:szCs w:val="20"/>
        </w:rPr>
        <w:t>διακοπή</w:t>
      </w:r>
      <w:r w:rsidRPr="00F323E8">
        <w:rPr>
          <w:rFonts w:ascii="Arial" w:hAnsi="Arial" w:cs="Arial"/>
          <w:sz w:val="20"/>
          <w:szCs w:val="20"/>
        </w:rPr>
        <w:t xml:space="preserve"> </w:t>
      </w:r>
      <w:r>
        <w:rPr>
          <w:rFonts w:ascii="Arial" w:hAnsi="Arial" w:cs="Arial"/>
          <w:sz w:val="20"/>
          <w:szCs w:val="20"/>
        </w:rPr>
        <w:t>δραστηριοτήτων</w:t>
      </w:r>
      <w:r w:rsidRPr="00F323E8">
        <w:rPr>
          <w:rFonts w:ascii="Arial" w:hAnsi="Arial" w:cs="Arial"/>
          <w:sz w:val="20"/>
          <w:szCs w:val="20"/>
        </w:rPr>
        <w:t xml:space="preserve"> </w:t>
      </w:r>
      <w:r>
        <w:rPr>
          <w:rFonts w:ascii="Arial" w:hAnsi="Arial" w:cs="Arial"/>
          <w:sz w:val="20"/>
          <w:szCs w:val="20"/>
        </w:rPr>
        <w:t>λόγω</w:t>
      </w:r>
      <w:r w:rsidRPr="00F323E8">
        <w:rPr>
          <w:rFonts w:ascii="Arial" w:hAnsi="Arial" w:cs="Arial"/>
          <w:sz w:val="20"/>
          <w:szCs w:val="20"/>
        </w:rPr>
        <w:t xml:space="preserve"> </w:t>
      </w:r>
      <w:r>
        <w:rPr>
          <w:rFonts w:ascii="Arial" w:hAnsi="Arial" w:cs="Arial"/>
          <w:sz w:val="20"/>
          <w:szCs w:val="20"/>
        </w:rPr>
        <w:t>των</w:t>
      </w:r>
      <w:r w:rsidRPr="00F323E8">
        <w:rPr>
          <w:rFonts w:ascii="Arial" w:hAnsi="Arial" w:cs="Arial"/>
          <w:sz w:val="20"/>
          <w:szCs w:val="20"/>
        </w:rPr>
        <w:t xml:space="preserve"> </w:t>
      </w:r>
      <w:r>
        <w:rPr>
          <w:rFonts w:ascii="Arial" w:hAnsi="Arial" w:cs="Arial"/>
          <w:sz w:val="20"/>
          <w:szCs w:val="20"/>
        </w:rPr>
        <w:t>γεγονότων</w:t>
      </w:r>
      <w:r w:rsidRPr="00F323E8">
        <w:rPr>
          <w:rFonts w:ascii="Arial" w:hAnsi="Arial" w:cs="Arial"/>
          <w:sz w:val="20"/>
          <w:szCs w:val="20"/>
        </w:rPr>
        <w:t xml:space="preserve"> </w:t>
      </w:r>
      <w:r>
        <w:rPr>
          <w:rFonts w:ascii="Arial" w:hAnsi="Arial" w:cs="Arial"/>
          <w:sz w:val="20"/>
          <w:szCs w:val="20"/>
        </w:rPr>
        <w:t>των</w:t>
      </w:r>
      <w:r w:rsidRPr="00F323E8">
        <w:rPr>
          <w:rFonts w:ascii="Arial" w:hAnsi="Arial" w:cs="Arial"/>
          <w:sz w:val="20"/>
          <w:szCs w:val="20"/>
        </w:rPr>
        <w:t xml:space="preserve"> </w:t>
      </w:r>
      <w:r>
        <w:rPr>
          <w:rFonts w:ascii="Arial" w:hAnsi="Arial" w:cs="Arial"/>
          <w:sz w:val="20"/>
          <w:szCs w:val="20"/>
        </w:rPr>
        <w:t>τελευταίων</w:t>
      </w:r>
      <w:r w:rsidRPr="00F323E8">
        <w:rPr>
          <w:rFonts w:ascii="Arial" w:hAnsi="Arial" w:cs="Arial"/>
          <w:sz w:val="20"/>
          <w:szCs w:val="20"/>
        </w:rPr>
        <w:t xml:space="preserve"> </w:t>
      </w:r>
      <w:r>
        <w:rPr>
          <w:rFonts w:ascii="Arial" w:hAnsi="Arial" w:cs="Arial"/>
          <w:sz w:val="20"/>
          <w:szCs w:val="20"/>
        </w:rPr>
        <w:t>ημερών</w:t>
      </w:r>
      <w:r w:rsidRPr="00F323E8">
        <w:rPr>
          <w:rFonts w:ascii="Arial" w:hAnsi="Arial" w:cs="Arial"/>
          <w:sz w:val="20"/>
          <w:szCs w:val="20"/>
        </w:rPr>
        <w:t xml:space="preserve">, </w:t>
      </w:r>
      <w:r>
        <w:rPr>
          <w:rFonts w:ascii="Arial" w:hAnsi="Arial" w:cs="Arial"/>
          <w:sz w:val="20"/>
          <w:szCs w:val="20"/>
        </w:rPr>
        <w:t>έγινε</w:t>
      </w:r>
      <w:r w:rsidRPr="00F323E8">
        <w:rPr>
          <w:rFonts w:ascii="Arial" w:hAnsi="Arial" w:cs="Arial"/>
          <w:sz w:val="20"/>
          <w:szCs w:val="20"/>
        </w:rPr>
        <w:t xml:space="preserve"> </w:t>
      </w:r>
      <w:r>
        <w:rPr>
          <w:rFonts w:ascii="Arial" w:hAnsi="Arial" w:cs="Arial"/>
          <w:sz w:val="20"/>
          <w:szCs w:val="20"/>
        </w:rPr>
        <w:t>γνωστό</w:t>
      </w:r>
      <w:r w:rsidRPr="00F323E8">
        <w:rPr>
          <w:rFonts w:ascii="Arial" w:hAnsi="Arial" w:cs="Arial"/>
          <w:sz w:val="20"/>
          <w:szCs w:val="20"/>
        </w:rPr>
        <w:t xml:space="preserve"> </w:t>
      </w:r>
      <w:r>
        <w:rPr>
          <w:rFonts w:ascii="Arial" w:hAnsi="Arial" w:cs="Arial"/>
          <w:sz w:val="20"/>
          <w:szCs w:val="20"/>
        </w:rPr>
        <w:t>ότι</w:t>
      </w:r>
      <w:r w:rsidRPr="00F323E8">
        <w:rPr>
          <w:rFonts w:ascii="Arial" w:hAnsi="Arial" w:cs="Arial"/>
          <w:sz w:val="20"/>
          <w:szCs w:val="20"/>
        </w:rPr>
        <w:t xml:space="preserve"> </w:t>
      </w:r>
      <w:r>
        <w:rPr>
          <w:rFonts w:ascii="Arial" w:hAnsi="Arial" w:cs="Arial"/>
          <w:sz w:val="20"/>
          <w:szCs w:val="20"/>
        </w:rPr>
        <w:t>η</w:t>
      </w:r>
      <w:r w:rsidRPr="00F323E8">
        <w:rPr>
          <w:rFonts w:ascii="Arial" w:hAnsi="Arial" w:cs="Arial"/>
          <w:sz w:val="20"/>
          <w:szCs w:val="20"/>
        </w:rPr>
        <w:t xml:space="preserve"> </w:t>
      </w:r>
      <w:r>
        <w:rPr>
          <w:rFonts w:ascii="Arial" w:hAnsi="Arial" w:cs="Arial"/>
          <w:sz w:val="20"/>
          <w:szCs w:val="20"/>
        </w:rPr>
        <w:t>εξαγωγή</w:t>
      </w:r>
      <w:r w:rsidRPr="00F323E8">
        <w:rPr>
          <w:rFonts w:ascii="Arial" w:hAnsi="Arial" w:cs="Arial"/>
          <w:sz w:val="20"/>
          <w:szCs w:val="20"/>
        </w:rPr>
        <w:t xml:space="preserve"> </w:t>
      </w:r>
      <w:r>
        <w:rPr>
          <w:rFonts w:ascii="Arial" w:hAnsi="Arial" w:cs="Arial"/>
          <w:sz w:val="20"/>
          <w:szCs w:val="20"/>
        </w:rPr>
        <w:t>πετρελαίου</w:t>
      </w:r>
      <w:r w:rsidRPr="00F323E8">
        <w:rPr>
          <w:rFonts w:ascii="Arial" w:hAnsi="Arial" w:cs="Arial"/>
          <w:sz w:val="20"/>
          <w:szCs w:val="20"/>
        </w:rPr>
        <w:t xml:space="preserve"> </w:t>
      </w:r>
      <w:r>
        <w:rPr>
          <w:rFonts w:ascii="Arial" w:hAnsi="Arial" w:cs="Arial"/>
          <w:sz w:val="20"/>
          <w:szCs w:val="20"/>
        </w:rPr>
        <w:t>επανεκκίνησε</w:t>
      </w:r>
      <w:r w:rsidRPr="00F323E8">
        <w:rPr>
          <w:rFonts w:ascii="Arial" w:hAnsi="Arial" w:cs="Arial"/>
          <w:sz w:val="20"/>
          <w:szCs w:val="20"/>
        </w:rPr>
        <w:t>.</w:t>
      </w:r>
      <w:r w:rsidRPr="00F323E8">
        <w:rPr>
          <w:rFonts w:ascii="Arial" w:hAnsi="Arial" w:cs="Arial"/>
          <w:sz w:val="20"/>
          <w:szCs w:val="20"/>
          <w:lang w:val="en-US"/>
        </w:rPr>
        <w:t> </w:t>
      </w:r>
    </w:p>
    <w:p w14:paraId="6287F3F3" w14:textId="06B2A856" w:rsidR="00C56596" w:rsidRDefault="00C56596" w:rsidP="00C56596">
      <w:pPr>
        <w:spacing w:after="120"/>
        <w:jc w:val="both"/>
        <w:rPr>
          <w:rFonts w:ascii="Arial" w:hAnsi="Arial" w:cs="Arial"/>
          <w:sz w:val="20"/>
          <w:szCs w:val="20"/>
        </w:rPr>
      </w:pPr>
      <w:r w:rsidRPr="00C56596">
        <w:rPr>
          <w:rFonts w:ascii="Arial" w:hAnsi="Arial" w:cs="Arial"/>
          <w:sz w:val="20"/>
          <w:szCs w:val="20"/>
          <w:lang w:val="en-US"/>
        </w:rPr>
        <w:t>ExxonMobil</w:t>
      </w:r>
      <w:r w:rsidRPr="00C56596">
        <w:rPr>
          <w:rFonts w:ascii="Arial" w:hAnsi="Arial" w:cs="Arial"/>
          <w:sz w:val="20"/>
          <w:szCs w:val="20"/>
        </w:rPr>
        <w:t xml:space="preserve"> </w:t>
      </w:r>
      <w:r w:rsidRPr="00243E10">
        <w:rPr>
          <w:rFonts w:ascii="Arial" w:hAnsi="Arial" w:cs="Arial"/>
          <w:sz w:val="20"/>
          <w:szCs w:val="20"/>
        </w:rPr>
        <w:t>και</w:t>
      </w:r>
      <w:r w:rsidRPr="00C56596">
        <w:rPr>
          <w:rFonts w:ascii="Arial" w:hAnsi="Arial" w:cs="Arial"/>
          <w:sz w:val="20"/>
          <w:szCs w:val="20"/>
        </w:rPr>
        <w:t xml:space="preserve"> </w:t>
      </w:r>
      <w:r w:rsidRPr="00C56596">
        <w:rPr>
          <w:rFonts w:ascii="Arial" w:hAnsi="Arial" w:cs="Arial"/>
          <w:sz w:val="20"/>
          <w:szCs w:val="20"/>
          <w:lang w:val="en-US"/>
        </w:rPr>
        <w:t>ConocoPhillips</w:t>
      </w:r>
      <w:r w:rsidRPr="00C56596">
        <w:rPr>
          <w:rFonts w:ascii="Arial" w:hAnsi="Arial" w:cs="Arial"/>
          <w:sz w:val="20"/>
          <w:szCs w:val="20"/>
        </w:rPr>
        <w:t xml:space="preserve">: </w:t>
      </w:r>
      <w:r>
        <w:rPr>
          <w:rFonts w:ascii="Arial" w:hAnsi="Arial" w:cs="Arial"/>
          <w:sz w:val="20"/>
          <w:szCs w:val="20"/>
        </w:rPr>
        <w:t>εκτιμάται</w:t>
      </w:r>
      <w:r w:rsidRPr="00C56596">
        <w:rPr>
          <w:rFonts w:ascii="Arial" w:hAnsi="Arial" w:cs="Arial"/>
          <w:sz w:val="20"/>
          <w:szCs w:val="20"/>
        </w:rPr>
        <w:t xml:space="preserve"> </w:t>
      </w:r>
      <w:r>
        <w:rPr>
          <w:rFonts w:ascii="Arial" w:hAnsi="Arial" w:cs="Arial"/>
          <w:sz w:val="20"/>
          <w:szCs w:val="20"/>
        </w:rPr>
        <w:t>ότι η πρόθεση των ΗΠΑ είναι αυτές να επανέλθουν στα κοιτάσματα και τις δραστηριότητες που είχαν πριν από την εθνικοποίηση του 2007, και όχι απλώς να εισπράξουν τις οικονομικές απαιτήσεις τους.</w:t>
      </w:r>
      <w:r w:rsidR="007628D0">
        <w:rPr>
          <w:rFonts w:ascii="Arial" w:hAnsi="Arial" w:cs="Arial"/>
          <w:sz w:val="20"/>
          <w:szCs w:val="20"/>
        </w:rPr>
        <w:t xml:space="preserve"> Οι προθέσεις των δύο εταιρειών παραμένουν ασαφείς.</w:t>
      </w:r>
    </w:p>
    <w:p w14:paraId="31CF14C2" w14:textId="33F3E66B" w:rsidR="00C56596" w:rsidRPr="00C56596" w:rsidRDefault="00C56596" w:rsidP="00C56596">
      <w:pPr>
        <w:spacing w:after="120"/>
        <w:jc w:val="both"/>
        <w:rPr>
          <w:rFonts w:ascii="Arial" w:hAnsi="Arial" w:cs="Arial"/>
          <w:sz w:val="20"/>
          <w:szCs w:val="20"/>
        </w:rPr>
      </w:pPr>
      <w:r>
        <w:rPr>
          <w:rFonts w:ascii="Arial" w:hAnsi="Arial" w:cs="Arial"/>
          <w:sz w:val="20"/>
          <w:szCs w:val="20"/>
        </w:rPr>
        <w:t xml:space="preserve">Οι αναλυτές θεωρούν σίγουρο ότι η επαναφορά της παραγωγής πετρελαίου της Βενεζουέλας στα επίπεδα ρεκόρ του </w:t>
      </w:r>
      <w:r w:rsidR="0082399B" w:rsidRPr="0082399B">
        <w:rPr>
          <w:rFonts w:ascii="Arial" w:hAnsi="Arial" w:cs="Arial"/>
          <w:sz w:val="20"/>
          <w:szCs w:val="20"/>
        </w:rPr>
        <w:t>1997</w:t>
      </w:r>
      <w:r>
        <w:rPr>
          <w:rFonts w:ascii="Arial" w:hAnsi="Arial" w:cs="Arial"/>
          <w:sz w:val="20"/>
          <w:szCs w:val="20"/>
        </w:rPr>
        <w:t xml:space="preserve"> θα απαιτήσει τουλάχιστον μία δεκαετία και επενδύσεις πολλών δισεκατομμυρίων δολλαρίων.</w:t>
      </w:r>
    </w:p>
    <w:p w14:paraId="0FFEED3A" w14:textId="70EE3556" w:rsidR="00C56596" w:rsidRDefault="00C56596" w:rsidP="00C56596">
      <w:pPr>
        <w:spacing w:after="200"/>
        <w:jc w:val="both"/>
        <w:rPr>
          <w:rFonts w:ascii="Arial" w:hAnsi="Arial" w:cs="Arial"/>
          <w:sz w:val="20"/>
          <w:szCs w:val="20"/>
        </w:rPr>
      </w:pPr>
      <w:r>
        <w:rPr>
          <w:rFonts w:ascii="Arial" w:hAnsi="Arial" w:cs="Arial"/>
          <w:sz w:val="20"/>
          <w:szCs w:val="20"/>
        </w:rPr>
        <w:t xml:space="preserve">Βραχυπρόθεσμα, εκτιμάται ότι οι ΗΠΑ θα επιδιώξουν την εξαγωγή του πετρελαίου στα διϋλιστήρια των ΗΠΑ. Δεδομένου ότι επί του παρόντος οι </w:t>
      </w:r>
      <w:r w:rsidR="00515C75">
        <w:rPr>
          <w:rFonts w:ascii="Arial" w:hAnsi="Arial" w:cs="Arial"/>
          <w:sz w:val="20"/>
          <w:szCs w:val="20"/>
        </w:rPr>
        <w:t xml:space="preserve"> </w:t>
      </w:r>
      <w:r>
        <w:rPr>
          <w:rFonts w:ascii="Arial" w:hAnsi="Arial" w:cs="Arial"/>
          <w:sz w:val="20"/>
          <w:szCs w:val="20"/>
        </w:rPr>
        <w:t xml:space="preserve">εισαγωγές στις ΗΠΑ αφορούν σε μεγάλο βαθμό καναδικό αργό πετρέλαιο ελαφρού τύπου, εκτιμάται ότι η ανάμειξή του με το βαρύ αργό της Βενεζουέλας θα επιτρέψει την παραγωγή προϊόντων κατάλληλων για την αμερικανική και </w:t>
      </w:r>
      <w:r w:rsidR="0082399B">
        <w:rPr>
          <w:rFonts w:ascii="Arial" w:hAnsi="Arial" w:cs="Arial"/>
          <w:sz w:val="20"/>
          <w:szCs w:val="20"/>
        </w:rPr>
        <w:t>διεθνή</w:t>
      </w:r>
      <w:r>
        <w:rPr>
          <w:rFonts w:ascii="Arial" w:hAnsi="Arial" w:cs="Arial"/>
          <w:sz w:val="20"/>
          <w:szCs w:val="20"/>
        </w:rPr>
        <w:t xml:space="preserve"> αγορά με συμπίεση του κόστους παραγωγής. Επομένως, αυτό θα βοηθήσει την υλοποίηση της προεκλογικής υπόσχεσης του προέδρου Τραμπ για χαμηλό κόστος καυσίμων</w:t>
      </w:r>
      <w:r w:rsidR="007628D0">
        <w:rPr>
          <w:rFonts w:ascii="Arial" w:hAnsi="Arial" w:cs="Arial"/>
          <w:sz w:val="20"/>
          <w:szCs w:val="20"/>
        </w:rPr>
        <w:t xml:space="preserve"> στις ΗΠΑ</w:t>
      </w:r>
      <w:r>
        <w:rPr>
          <w:rFonts w:ascii="Arial" w:hAnsi="Arial" w:cs="Arial"/>
          <w:sz w:val="20"/>
          <w:szCs w:val="20"/>
        </w:rPr>
        <w:t>.</w:t>
      </w:r>
    </w:p>
    <w:p w14:paraId="40F0525A" w14:textId="54A1E582" w:rsidR="00E26A39" w:rsidRDefault="007628D0" w:rsidP="00C56596">
      <w:pPr>
        <w:spacing w:after="200"/>
        <w:jc w:val="both"/>
        <w:rPr>
          <w:rFonts w:ascii="Arial" w:hAnsi="Arial" w:cs="Arial"/>
          <w:sz w:val="20"/>
          <w:szCs w:val="20"/>
        </w:rPr>
      </w:pPr>
      <w:r>
        <w:rPr>
          <w:rFonts w:ascii="Arial" w:hAnsi="Arial" w:cs="Arial"/>
          <w:sz w:val="20"/>
          <w:szCs w:val="20"/>
        </w:rPr>
        <w:t xml:space="preserve">Ωστόσο, η διατήρηση των τιμών σε χαμηλό επίπεδο θα επηρεάσει αρνητικά τόσο τις επενδύσεις των εταιρειών των ΗΠΑ, καθώς τις καθιστά ζημιογόνες, όσο και τις επενδύσεις στον πετρελαϊκό κλάδο της Βενεζουέλας. Ακόμη και αν φραστικά οι εταιρείες δεσμευθούν σε επενδύσεις, δεδομένου ότι οι διοικήσεις τους είναι </w:t>
      </w:r>
      <w:proofErr w:type="spellStart"/>
      <w:r>
        <w:rPr>
          <w:rFonts w:ascii="Arial" w:hAnsi="Arial" w:cs="Arial"/>
          <w:sz w:val="20"/>
          <w:szCs w:val="20"/>
        </w:rPr>
        <w:t>υπόλογες</w:t>
      </w:r>
      <w:proofErr w:type="spellEnd"/>
      <w:r>
        <w:rPr>
          <w:rFonts w:ascii="Arial" w:hAnsi="Arial" w:cs="Arial"/>
          <w:sz w:val="20"/>
          <w:szCs w:val="20"/>
        </w:rPr>
        <w:t xml:space="preserve"> στους μετόχους τους και επιδιώκουν την κερδοφορία, δεν θα αρκεί η πολιτική βούληση χωρίς να συντρέχουν και οι απαραίτητες οικονομικές προϋποθέσεις.</w:t>
      </w:r>
    </w:p>
    <w:p w14:paraId="2C5EDF6D" w14:textId="43FA915E" w:rsidR="003553BB" w:rsidRDefault="008760CE" w:rsidP="00C56596">
      <w:pPr>
        <w:spacing w:after="200"/>
        <w:jc w:val="both"/>
        <w:rPr>
          <w:rFonts w:ascii="Arial" w:hAnsi="Arial" w:cs="Arial"/>
          <w:sz w:val="20"/>
          <w:szCs w:val="20"/>
        </w:rPr>
      </w:pPr>
      <w:r>
        <w:rPr>
          <w:rFonts w:ascii="Arial" w:hAnsi="Arial" w:cs="Arial"/>
          <w:sz w:val="20"/>
          <w:szCs w:val="20"/>
        </w:rPr>
        <w:t>Τυχόν αύξηση των εισαγωγών αργού πετρελαίου στις ΗΠΑ από την Βενεζουέλα προκαλεί λογική ανησυχία στους Καναδούς παραγωγούς,  δεδομένου ότι την περίοδο Ιαν.-</w:t>
      </w:r>
      <w:proofErr w:type="spellStart"/>
      <w:r>
        <w:rPr>
          <w:rFonts w:ascii="Arial" w:hAnsi="Arial" w:cs="Arial"/>
          <w:sz w:val="20"/>
          <w:szCs w:val="20"/>
        </w:rPr>
        <w:t>Σεπτ</w:t>
      </w:r>
      <w:proofErr w:type="spellEnd"/>
      <w:r>
        <w:rPr>
          <w:rFonts w:ascii="Arial" w:hAnsi="Arial" w:cs="Arial"/>
          <w:sz w:val="20"/>
          <w:szCs w:val="20"/>
        </w:rPr>
        <w:t>. 2025 το 54% των συνολικών εισαγωγών αργού πετρελαίου στις ΗΠΑ ήταν καναδικής προέλευσης. Ωστόσο, τ</w:t>
      </w:r>
      <w:r w:rsidR="00E26A39" w:rsidRPr="00E26A39">
        <w:rPr>
          <w:rFonts w:ascii="Arial" w:hAnsi="Arial" w:cs="Arial"/>
          <w:sz w:val="20"/>
          <w:szCs w:val="20"/>
        </w:rPr>
        <w:t xml:space="preserve">ο μεγαλύτερο μέρος του καναδικού πετρελαίου ρέει επί του παρόντος μέσω αγωγών προς τη </w:t>
      </w:r>
      <w:proofErr w:type="spellStart"/>
      <w:r w:rsidR="00E26A39" w:rsidRPr="00E26A39">
        <w:rPr>
          <w:rFonts w:ascii="Arial" w:hAnsi="Arial" w:cs="Arial"/>
          <w:sz w:val="20"/>
          <w:szCs w:val="20"/>
        </w:rPr>
        <w:t>Μεσοδυτική</w:t>
      </w:r>
      <w:proofErr w:type="spellEnd"/>
      <w:r w:rsidR="00E26A39" w:rsidRPr="00E26A39">
        <w:rPr>
          <w:rFonts w:ascii="Arial" w:hAnsi="Arial" w:cs="Arial"/>
          <w:sz w:val="20"/>
          <w:szCs w:val="20"/>
        </w:rPr>
        <w:t xml:space="preserve"> Αμερική, όπου κυριαρχεί στην αγορά λόγω πλεονεκτημάτων στις υποδομές. </w:t>
      </w:r>
      <w:r>
        <w:rPr>
          <w:rFonts w:ascii="Arial" w:hAnsi="Arial" w:cs="Arial"/>
          <w:sz w:val="20"/>
          <w:szCs w:val="20"/>
        </w:rPr>
        <w:t>Αντιθέτως, τ</w:t>
      </w:r>
      <w:r w:rsidR="00E26A39" w:rsidRPr="00E26A39">
        <w:rPr>
          <w:rFonts w:ascii="Arial" w:hAnsi="Arial" w:cs="Arial"/>
          <w:sz w:val="20"/>
          <w:szCs w:val="20"/>
        </w:rPr>
        <w:t xml:space="preserve">ο αργό πετρέλαιο της Βενεζουέλας </w:t>
      </w:r>
      <w:r>
        <w:rPr>
          <w:rFonts w:ascii="Arial" w:hAnsi="Arial" w:cs="Arial"/>
          <w:sz w:val="20"/>
          <w:szCs w:val="20"/>
        </w:rPr>
        <w:t xml:space="preserve">φθάνει στις ΗΠΑ και ιδίως στα διϋλιστήρια που βρίσκονται στην ζώνη του Κόλπου του Μεξικό / Αμερικής δια θαλάσσης. </w:t>
      </w:r>
      <w:r w:rsidR="003553BB" w:rsidRPr="003553BB">
        <w:rPr>
          <w:rFonts w:ascii="Arial" w:hAnsi="Arial" w:cs="Arial"/>
          <w:sz w:val="20"/>
          <w:szCs w:val="20"/>
        </w:rPr>
        <w:t xml:space="preserve">Το αργό πετρέλαιο </w:t>
      </w:r>
      <w:proofErr w:type="spellStart"/>
      <w:r w:rsidR="003553BB" w:rsidRPr="003553BB">
        <w:rPr>
          <w:rFonts w:ascii="Arial" w:hAnsi="Arial" w:cs="Arial"/>
          <w:sz w:val="20"/>
          <w:szCs w:val="20"/>
        </w:rPr>
        <w:t>Merey</w:t>
      </w:r>
      <w:proofErr w:type="spellEnd"/>
      <w:r w:rsidR="003553BB" w:rsidRPr="003553BB">
        <w:rPr>
          <w:rFonts w:ascii="Arial" w:hAnsi="Arial" w:cs="Arial"/>
          <w:sz w:val="20"/>
          <w:szCs w:val="20"/>
        </w:rPr>
        <w:t xml:space="preserve"> της Βενεζουέλας και το Western </w:t>
      </w:r>
      <w:proofErr w:type="spellStart"/>
      <w:r w:rsidR="003553BB" w:rsidRPr="003553BB">
        <w:rPr>
          <w:rFonts w:ascii="Arial" w:hAnsi="Arial" w:cs="Arial"/>
          <w:sz w:val="20"/>
          <w:szCs w:val="20"/>
        </w:rPr>
        <w:t>Canadian</w:t>
      </w:r>
      <w:proofErr w:type="spellEnd"/>
      <w:r w:rsidR="003553BB" w:rsidRPr="003553BB">
        <w:rPr>
          <w:rFonts w:ascii="Arial" w:hAnsi="Arial" w:cs="Arial"/>
          <w:sz w:val="20"/>
          <w:szCs w:val="20"/>
        </w:rPr>
        <w:t xml:space="preserve"> </w:t>
      </w:r>
      <w:proofErr w:type="spellStart"/>
      <w:r w:rsidR="003553BB" w:rsidRPr="003553BB">
        <w:rPr>
          <w:rFonts w:ascii="Arial" w:hAnsi="Arial" w:cs="Arial"/>
          <w:sz w:val="20"/>
          <w:szCs w:val="20"/>
        </w:rPr>
        <w:t>Select</w:t>
      </w:r>
      <w:proofErr w:type="spellEnd"/>
      <w:r w:rsidR="003553BB" w:rsidRPr="003553BB">
        <w:rPr>
          <w:rFonts w:ascii="Arial" w:hAnsi="Arial" w:cs="Arial"/>
          <w:sz w:val="20"/>
          <w:szCs w:val="20"/>
        </w:rPr>
        <w:t xml:space="preserve"> (WCS) είναι και τα δύο </w:t>
      </w:r>
      <w:proofErr w:type="spellStart"/>
      <w:r w:rsidR="003553BB" w:rsidRPr="003553BB">
        <w:rPr>
          <w:rFonts w:ascii="Arial" w:hAnsi="Arial" w:cs="Arial"/>
          <w:sz w:val="20"/>
          <w:szCs w:val="20"/>
        </w:rPr>
        <w:t>βαρ</w:t>
      </w:r>
      <w:r w:rsidR="003553BB">
        <w:rPr>
          <w:rFonts w:ascii="Arial" w:hAnsi="Arial" w:cs="Arial"/>
          <w:sz w:val="20"/>
          <w:szCs w:val="20"/>
        </w:rPr>
        <w:t>ε</w:t>
      </w:r>
      <w:r w:rsidR="003553BB" w:rsidRPr="003553BB">
        <w:rPr>
          <w:rFonts w:ascii="Arial" w:hAnsi="Arial" w:cs="Arial"/>
          <w:sz w:val="20"/>
          <w:szCs w:val="20"/>
        </w:rPr>
        <w:t>ιές</w:t>
      </w:r>
      <w:proofErr w:type="spellEnd"/>
      <w:r w:rsidR="003553BB" w:rsidRPr="003553BB">
        <w:rPr>
          <w:rFonts w:ascii="Arial" w:hAnsi="Arial" w:cs="Arial"/>
          <w:sz w:val="20"/>
          <w:szCs w:val="20"/>
        </w:rPr>
        <w:t xml:space="preserve"> ποιότητες</w:t>
      </w:r>
      <w:r w:rsidR="003553BB">
        <w:rPr>
          <w:rFonts w:ascii="Arial" w:hAnsi="Arial" w:cs="Arial"/>
          <w:sz w:val="20"/>
          <w:szCs w:val="20"/>
        </w:rPr>
        <w:t xml:space="preserve">. </w:t>
      </w:r>
    </w:p>
    <w:p w14:paraId="2E3D092A" w14:textId="27B1585E" w:rsidR="00033BC1" w:rsidRDefault="00033BC1" w:rsidP="00033BC1">
      <w:pPr>
        <w:spacing w:after="200"/>
        <w:jc w:val="both"/>
        <w:rPr>
          <w:rFonts w:ascii="Arial" w:hAnsi="Arial" w:cs="Arial"/>
          <w:sz w:val="20"/>
          <w:szCs w:val="20"/>
        </w:rPr>
      </w:pPr>
      <w:r w:rsidRPr="00033BC1">
        <w:rPr>
          <w:rFonts w:ascii="Arial" w:hAnsi="Arial" w:cs="Arial"/>
          <w:sz w:val="20"/>
          <w:szCs w:val="20"/>
        </w:rPr>
        <w:t xml:space="preserve">Ο Καναδάς εξαρτάται σε μεγάλο βαθμό από την αγορά των ΗΠΑ, στέλνοντας </w:t>
      </w:r>
      <w:r>
        <w:rPr>
          <w:rFonts w:ascii="Arial" w:hAnsi="Arial" w:cs="Arial"/>
          <w:sz w:val="20"/>
          <w:szCs w:val="20"/>
        </w:rPr>
        <w:t xml:space="preserve">άνω του 90% </w:t>
      </w:r>
      <w:r w:rsidRPr="00033BC1">
        <w:rPr>
          <w:rFonts w:ascii="Arial" w:hAnsi="Arial" w:cs="Arial"/>
          <w:sz w:val="20"/>
          <w:szCs w:val="20"/>
        </w:rPr>
        <w:t>των συνολικών εξαγωγών αργού πετρελαίου</w:t>
      </w:r>
      <w:r>
        <w:rPr>
          <w:rFonts w:ascii="Arial" w:hAnsi="Arial" w:cs="Arial"/>
          <w:sz w:val="20"/>
          <w:szCs w:val="20"/>
        </w:rPr>
        <w:t xml:space="preserve"> στις ΗΠΑ</w:t>
      </w:r>
      <w:r w:rsidRPr="00033BC1">
        <w:rPr>
          <w:rFonts w:ascii="Arial" w:hAnsi="Arial" w:cs="Arial"/>
          <w:sz w:val="20"/>
          <w:szCs w:val="20"/>
        </w:rPr>
        <w:t>. Αυτή η υψηλή εξάρτηση τον καθιστά ευάλωτο σε κραδασμούς της αγοράς από νέες πηγές εφοδιασμού όπως η Βενεζουέλα.</w:t>
      </w:r>
      <w:r>
        <w:rPr>
          <w:rFonts w:ascii="Arial" w:hAnsi="Arial" w:cs="Arial"/>
          <w:sz w:val="20"/>
          <w:szCs w:val="20"/>
        </w:rPr>
        <w:t xml:space="preserve"> </w:t>
      </w:r>
      <w:r w:rsidRPr="00033BC1">
        <w:rPr>
          <w:rFonts w:ascii="Arial" w:hAnsi="Arial" w:cs="Arial"/>
          <w:sz w:val="20"/>
          <w:szCs w:val="20"/>
        </w:rPr>
        <w:t xml:space="preserve">Τα διυλιστήρια των ΗΠΑ αναμένεται να επωφεληθούν από πιο διαφοροποιημένες και ενδεχομένως φθηνότερες πηγές </w:t>
      </w:r>
      <w:proofErr w:type="spellStart"/>
      <w:r w:rsidRPr="00033BC1">
        <w:rPr>
          <w:rFonts w:ascii="Arial" w:hAnsi="Arial" w:cs="Arial"/>
          <w:sz w:val="20"/>
          <w:szCs w:val="20"/>
        </w:rPr>
        <w:t>βαρέος</w:t>
      </w:r>
      <w:proofErr w:type="spellEnd"/>
      <w:r w:rsidRPr="00033BC1">
        <w:rPr>
          <w:rFonts w:ascii="Arial" w:hAnsi="Arial" w:cs="Arial"/>
          <w:sz w:val="20"/>
          <w:szCs w:val="20"/>
        </w:rPr>
        <w:t xml:space="preserve"> αργού πετρελαίου, κάτι που θα μπορούσε επίσης να βοηθήσει στη μείωση του κόστους παραγωγής </w:t>
      </w:r>
      <w:r>
        <w:rPr>
          <w:rFonts w:ascii="Arial" w:hAnsi="Arial" w:cs="Arial"/>
          <w:sz w:val="20"/>
          <w:szCs w:val="20"/>
        </w:rPr>
        <w:t xml:space="preserve">και διάθεσης καυσίμων. </w:t>
      </w:r>
      <w:r w:rsidR="00532B12">
        <w:rPr>
          <w:rFonts w:ascii="Arial" w:hAnsi="Arial" w:cs="Arial"/>
          <w:sz w:val="20"/>
          <w:szCs w:val="20"/>
        </w:rPr>
        <w:t>Ωστόσο, αφ’ ενός η αδυναμία της Βενεζουέλας να αυξήσει δραστική την παραγωγή της και αφ’ ετέρου η μη εξάρτηση του καναδικού πετρελαίου από την περιοχή του Κόλπου του Μεξικό / Αμερικής, δεν θα οδηγήσουν σε δραστική αλλαγή των όρων ανταγωνισμού για τις καναδικές εταιρείες.</w:t>
      </w:r>
      <w:r w:rsidR="00532B12">
        <w:rPr>
          <w:rFonts w:ascii="Arial" w:hAnsi="Arial" w:cs="Arial"/>
          <w:sz w:val="20"/>
          <w:szCs w:val="20"/>
        </w:rPr>
        <w:t xml:space="preserve"> </w:t>
      </w:r>
      <w:r>
        <w:rPr>
          <w:rFonts w:ascii="Arial" w:hAnsi="Arial" w:cs="Arial"/>
          <w:sz w:val="20"/>
          <w:szCs w:val="20"/>
        </w:rPr>
        <w:t>Σε ό,τι αφορά τον Καναδά, η</w:t>
      </w:r>
      <w:r w:rsidRPr="00033BC1">
        <w:rPr>
          <w:rFonts w:ascii="Arial" w:hAnsi="Arial" w:cs="Arial"/>
          <w:sz w:val="20"/>
          <w:szCs w:val="20"/>
        </w:rPr>
        <w:t xml:space="preserve"> πιθανότητα αυξημένου ανταγωνισμού ενισχύει την άποψη ότι πρέπει να διαφοροποιήσει τις επιλογές εξαγωγών του</w:t>
      </w:r>
      <w:r w:rsidR="00532B12">
        <w:rPr>
          <w:rFonts w:ascii="Arial" w:hAnsi="Arial" w:cs="Arial"/>
          <w:sz w:val="20"/>
          <w:szCs w:val="20"/>
        </w:rPr>
        <w:t xml:space="preserve"> και να επιταχύνει την αύξηση </w:t>
      </w:r>
      <w:r w:rsidRPr="00033BC1">
        <w:rPr>
          <w:rFonts w:ascii="Arial" w:hAnsi="Arial" w:cs="Arial"/>
          <w:sz w:val="20"/>
          <w:szCs w:val="20"/>
        </w:rPr>
        <w:t xml:space="preserve">της χωρητικότητας των αγωγών </w:t>
      </w:r>
      <w:r w:rsidR="00532B12">
        <w:rPr>
          <w:rFonts w:ascii="Arial" w:hAnsi="Arial" w:cs="Arial"/>
          <w:sz w:val="20"/>
          <w:szCs w:val="20"/>
        </w:rPr>
        <w:t xml:space="preserve">του από την Αλμπέρτα </w:t>
      </w:r>
      <w:r w:rsidRPr="00033BC1">
        <w:rPr>
          <w:rFonts w:ascii="Arial" w:hAnsi="Arial" w:cs="Arial"/>
          <w:sz w:val="20"/>
          <w:szCs w:val="20"/>
        </w:rPr>
        <w:t>προς τις ακτές του Ειρηνικού</w:t>
      </w:r>
      <w:r w:rsidR="00532B12">
        <w:rPr>
          <w:rFonts w:ascii="Arial" w:hAnsi="Arial" w:cs="Arial"/>
          <w:sz w:val="20"/>
          <w:szCs w:val="20"/>
        </w:rPr>
        <w:t xml:space="preserve">, ώστε να βελτιώσει την </w:t>
      </w:r>
      <w:r w:rsidRPr="00033BC1">
        <w:rPr>
          <w:rFonts w:ascii="Arial" w:hAnsi="Arial" w:cs="Arial"/>
          <w:sz w:val="20"/>
          <w:szCs w:val="20"/>
        </w:rPr>
        <w:t>πρόσβαση στις ασιατικές αγορές.</w:t>
      </w:r>
    </w:p>
    <w:p w14:paraId="64CB7C33" w14:textId="57C635CB" w:rsidR="007628D0" w:rsidRPr="007628D0" w:rsidRDefault="007628D0" w:rsidP="00C56596">
      <w:pPr>
        <w:spacing w:after="200"/>
        <w:jc w:val="both"/>
        <w:rPr>
          <w:rFonts w:ascii="Arial" w:hAnsi="Arial" w:cs="Arial"/>
          <w:sz w:val="20"/>
          <w:szCs w:val="20"/>
        </w:rPr>
      </w:pPr>
      <w:r>
        <w:rPr>
          <w:rFonts w:ascii="Arial" w:hAnsi="Arial" w:cs="Arial"/>
          <w:sz w:val="20"/>
          <w:szCs w:val="20"/>
        </w:rPr>
        <w:t xml:space="preserve">Ερώτημα παραμένει κατά πόσον θα συνεχισθεί η παράδοση φορτίων, και σε </w:t>
      </w:r>
      <w:proofErr w:type="spellStart"/>
      <w:r>
        <w:rPr>
          <w:rFonts w:ascii="Arial" w:hAnsi="Arial" w:cs="Arial"/>
          <w:sz w:val="20"/>
          <w:szCs w:val="20"/>
        </w:rPr>
        <w:t>ποιά</w:t>
      </w:r>
      <w:proofErr w:type="spellEnd"/>
      <w:r>
        <w:rPr>
          <w:rFonts w:ascii="Arial" w:hAnsi="Arial" w:cs="Arial"/>
          <w:sz w:val="20"/>
          <w:szCs w:val="20"/>
        </w:rPr>
        <w:t xml:space="preserve"> τιμή, στην Κίνα, η οποία τα παραλαμβάνει έναντι εξόφλησης του δημοσίου χρέους της Βενεζουέλας προς αυτήν</w:t>
      </w:r>
      <w:r w:rsidR="001E3806">
        <w:rPr>
          <w:rFonts w:ascii="Arial" w:hAnsi="Arial" w:cs="Arial"/>
          <w:sz w:val="20"/>
          <w:szCs w:val="20"/>
        </w:rPr>
        <w:t xml:space="preserve"> λόγω δανείων</w:t>
      </w:r>
      <w:r>
        <w:rPr>
          <w:rFonts w:ascii="Arial" w:hAnsi="Arial" w:cs="Arial"/>
          <w:sz w:val="20"/>
          <w:szCs w:val="20"/>
        </w:rPr>
        <w:t>, καθώς πρέπει να συνυπολογισθεί ότι το πετρέλαιο της Βενεζουέλας καλύπτει σχετικά μικρό μέρος των κινεζικών εισαγωγών.</w:t>
      </w:r>
      <w:r w:rsidR="001E3806">
        <w:rPr>
          <w:rFonts w:ascii="Arial" w:hAnsi="Arial" w:cs="Arial"/>
          <w:sz w:val="20"/>
          <w:szCs w:val="20"/>
        </w:rPr>
        <w:t xml:space="preserve"> Ιδίως, εάν οι πετρελαϊκές εταιρείες των ΗΠΑ αναλάβουν κεντρικό διαχειριστικό ρόλο στην Βενεζουέλα, αναμένεται να επηρεασθούν αρνητικά και οι εξαγωγές πετρελαίου της Βενεζουέλας προς άλλες χώρες, όπως η Κούβα.</w:t>
      </w:r>
    </w:p>
    <w:p w14:paraId="6C9A4DA7" w14:textId="42307375" w:rsidR="004506EA" w:rsidRPr="00A41C4F" w:rsidRDefault="00951AAE" w:rsidP="00951AAE">
      <w:pPr>
        <w:tabs>
          <w:tab w:val="center" w:pos="5400"/>
        </w:tabs>
        <w:jc w:val="both"/>
        <w:rPr>
          <w:rFonts w:ascii="Arial" w:hAnsi="Arial" w:cs="Arial"/>
          <w:sz w:val="20"/>
          <w:szCs w:val="20"/>
        </w:rPr>
      </w:pPr>
      <w:r>
        <w:rPr>
          <w:rFonts w:ascii="Arial" w:hAnsi="Arial" w:cs="Arial"/>
          <w:sz w:val="20"/>
          <w:szCs w:val="20"/>
        </w:rPr>
        <w:t>Συντάκτης</w:t>
      </w:r>
      <w:r w:rsidRPr="00951AAE">
        <w:rPr>
          <w:rFonts w:ascii="Arial" w:hAnsi="Arial" w:cs="Arial"/>
          <w:sz w:val="20"/>
          <w:szCs w:val="20"/>
        </w:rPr>
        <w:t xml:space="preserve">: </w:t>
      </w:r>
      <w:r w:rsidR="0037471F">
        <w:rPr>
          <w:rFonts w:ascii="Arial" w:hAnsi="Arial" w:cs="Arial"/>
          <w:sz w:val="20"/>
          <w:szCs w:val="20"/>
        </w:rPr>
        <w:t>Διονύσης Πρωτοπαπάς</w:t>
      </w:r>
      <w:r w:rsidRPr="00951AAE">
        <w:rPr>
          <w:rFonts w:ascii="Arial" w:hAnsi="Arial" w:cs="Arial"/>
          <w:sz w:val="20"/>
          <w:szCs w:val="20"/>
        </w:rPr>
        <w:t xml:space="preserve">, </w:t>
      </w:r>
      <w:bookmarkStart w:id="2" w:name="_GoBack"/>
      <w:bookmarkEnd w:id="2"/>
      <w:r w:rsidR="0037471F">
        <w:rPr>
          <w:rFonts w:ascii="Arial" w:hAnsi="Arial" w:cs="Arial"/>
          <w:sz w:val="20"/>
          <w:szCs w:val="20"/>
        </w:rPr>
        <w:t>Γενικός Σύμβουλος ΟΕΥ Β’</w:t>
      </w:r>
    </w:p>
    <w:sectPr w:rsidR="004506EA" w:rsidRPr="00A41C4F" w:rsidSect="00A431CC">
      <w:footerReference w:type="default" r:id="rId16"/>
      <w:pgSz w:w="12240" w:h="15840"/>
      <w:pgMar w:top="135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39F0" w14:textId="77777777" w:rsidR="00F10892" w:rsidRDefault="00F10892" w:rsidP="00ED0F59">
      <w:r>
        <w:separator/>
      </w:r>
    </w:p>
  </w:endnote>
  <w:endnote w:type="continuationSeparator" w:id="0">
    <w:p w14:paraId="534FCD73" w14:textId="77777777" w:rsidR="00F10892" w:rsidRDefault="00F10892" w:rsidP="00ED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45EF" w14:textId="1BACCFB6" w:rsidR="00F10892" w:rsidRDefault="00F10892" w:rsidP="0022399D">
    <w:pPr>
      <w:pBdr>
        <w:top w:val="single" w:sz="4" w:space="1" w:color="auto"/>
      </w:pBdr>
      <w:spacing w:before="120"/>
      <w:jc w:val="right"/>
      <w:rPr>
        <w:rFonts w:ascii="Arial" w:hAnsi="Arial" w:cs="Arial"/>
        <w:sz w:val="18"/>
        <w:szCs w:val="18"/>
      </w:rPr>
    </w:pPr>
    <w:r w:rsidRPr="00A045A2">
      <w:rPr>
        <w:rFonts w:ascii="Arial" w:hAnsi="Arial" w:cs="Arial"/>
        <w:sz w:val="18"/>
        <w:szCs w:val="18"/>
      </w:rPr>
      <w:t xml:space="preserve">Σελίδα </w:t>
    </w:r>
    <w:r w:rsidRPr="00A045A2">
      <w:rPr>
        <w:rFonts w:ascii="Arial" w:hAnsi="Arial" w:cs="Arial"/>
        <w:b/>
        <w:sz w:val="18"/>
        <w:szCs w:val="18"/>
      </w:rPr>
      <w:fldChar w:fldCharType="begin"/>
    </w:r>
    <w:r w:rsidRPr="00A045A2">
      <w:rPr>
        <w:rFonts w:ascii="Arial" w:hAnsi="Arial" w:cs="Arial"/>
        <w:b/>
        <w:sz w:val="18"/>
        <w:szCs w:val="18"/>
      </w:rPr>
      <w:instrText xml:space="preserve"> PAGE </w:instrText>
    </w:r>
    <w:r w:rsidRPr="00A045A2">
      <w:rPr>
        <w:rFonts w:ascii="Arial" w:hAnsi="Arial" w:cs="Arial"/>
        <w:b/>
        <w:sz w:val="18"/>
        <w:szCs w:val="18"/>
      </w:rPr>
      <w:fldChar w:fldCharType="separate"/>
    </w:r>
    <w:r w:rsidRPr="00A045A2">
      <w:rPr>
        <w:rFonts w:ascii="Arial" w:hAnsi="Arial" w:cs="Arial"/>
        <w:b/>
        <w:sz w:val="18"/>
        <w:szCs w:val="18"/>
      </w:rPr>
      <w:t>1</w:t>
    </w:r>
    <w:r w:rsidRPr="00A045A2">
      <w:rPr>
        <w:rFonts w:ascii="Arial" w:hAnsi="Arial" w:cs="Arial"/>
        <w:b/>
        <w:sz w:val="18"/>
        <w:szCs w:val="18"/>
      </w:rPr>
      <w:fldChar w:fldCharType="end"/>
    </w:r>
  </w:p>
  <w:p w14:paraId="4FA937D5" w14:textId="37D0D2BC" w:rsidR="009F1619" w:rsidRPr="00A41C4F" w:rsidRDefault="009F1619" w:rsidP="009F1619">
    <w:pPr>
      <w:pBdr>
        <w:top w:val="single" w:sz="4" w:space="1" w:color="auto"/>
      </w:pBdr>
      <w:spacing w:before="120"/>
      <w:jc w:val="center"/>
      <w:rPr>
        <w:rFonts w:ascii="Arial" w:hAnsi="Arial" w:cs="Arial"/>
        <w:sz w:val="18"/>
        <w:szCs w:val="18"/>
        <w:lang w:val="en-US"/>
      </w:rPr>
    </w:pPr>
    <w:r>
      <w:rPr>
        <w:rFonts w:ascii="Arial" w:hAnsi="Arial" w:cs="Arial"/>
        <w:sz w:val="18"/>
        <w:szCs w:val="18"/>
        <w:lang w:val="en-US"/>
      </w:rPr>
      <w:t xml:space="preserve">2117 Massachusetts Ave., Washington DC 20008, USA – </w:t>
    </w:r>
    <w:hyperlink r:id="rId1" w:history="1">
      <w:r w:rsidRPr="00036CF4">
        <w:rPr>
          <w:rStyle w:val="Hyperlink"/>
          <w:rFonts w:ascii="Arial" w:hAnsi="Arial" w:cs="Arial"/>
          <w:sz w:val="18"/>
          <w:szCs w:val="18"/>
          <w:lang w:val="en-US"/>
        </w:rPr>
        <w:t>ecocom-washington@mfa.gr</w:t>
      </w:r>
    </w:hyperlink>
    <w:r>
      <w:rPr>
        <w:rFonts w:ascii="Arial" w:hAnsi="Arial" w:cs="Arial"/>
        <w:sz w:val="18"/>
        <w:szCs w:val="18"/>
        <w:lang w:val="en-US"/>
      </w:rPr>
      <w:t xml:space="preserve"> </w:t>
    </w:r>
  </w:p>
  <w:p w14:paraId="5CF114F5" w14:textId="49C55929" w:rsidR="00F10892" w:rsidRPr="009F1619" w:rsidRDefault="00F10892" w:rsidP="003C4962">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59A7D" w14:textId="77777777" w:rsidR="00F10892" w:rsidRDefault="00F10892" w:rsidP="00ED0F59">
      <w:r>
        <w:separator/>
      </w:r>
    </w:p>
  </w:footnote>
  <w:footnote w:type="continuationSeparator" w:id="0">
    <w:p w14:paraId="79224D95" w14:textId="77777777" w:rsidR="00F10892" w:rsidRDefault="00F10892" w:rsidP="00ED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525"/>
    <w:multiLevelType w:val="multilevel"/>
    <w:tmpl w:val="8B96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F3564"/>
    <w:multiLevelType w:val="multilevel"/>
    <w:tmpl w:val="F60A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70A7C"/>
    <w:multiLevelType w:val="multilevel"/>
    <w:tmpl w:val="AD46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F311B"/>
    <w:multiLevelType w:val="multilevel"/>
    <w:tmpl w:val="4A66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F5C14"/>
    <w:multiLevelType w:val="multilevel"/>
    <w:tmpl w:val="7FA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1543A"/>
    <w:multiLevelType w:val="hybridMultilevel"/>
    <w:tmpl w:val="00AA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23847"/>
    <w:multiLevelType w:val="multilevel"/>
    <w:tmpl w:val="8B96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5229F"/>
    <w:multiLevelType w:val="multilevel"/>
    <w:tmpl w:val="C6A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41BD1"/>
    <w:multiLevelType w:val="multilevel"/>
    <w:tmpl w:val="C940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F51A7"/>
    <w:multiLevelType w:val="hybridMultilevel"/>
    <w:tmpl w:val="7376EAB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1B4A1C0C"/>
    <w:multiLevelType w:val="multilevel"/>
    <w:tmpl w:val="5476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53738"/>
    <w:multiLevelType w:val="multilevel"/>
    <w:tmpl w:val="4EAC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2614D"/>
    <w:multiLevelType w:val="multilevel"/>
    <w:tmpl w:val="16C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B630F"/>
    <w:multiLevelType w:val="multilevel"/>
    <w:tmpl w:val="1E9C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B4864"/>
    <w:multiLevelType w:val="multilevel"/>
    <w:tmpl w:val="BA4E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74595F"/>
    <w:multiLevelType w:val="hybridMultilevel"/>
    <w:tmpl w:val="C458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C5C94"/>
    <w:multiLevelType w:val="multilevel"/>
    <w:tmpl w:val="8B96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10314"/>
    <w:multiLevelType w:val="multilevel"/>
    <w:tmpl w:val="9D66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E0848"/>
    <w:multiLevelType w:val="hybridMultilevel"/>
    <w:tmpl w:val="E4B21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9A3643"/>
    <w:multiLevelType w:val="hybridMultilevel"/>
    <w:tmpl w:val="B880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50F77"/>
    <w:multiLevelType w:val="hybridMultilevel"/>
    <w:tmpl w:val="F4C83E1C"/>
    <w:lvl w:ilvl="0" w:tplc="18AE2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F5C9E"/>
    <w:multiLevelType w:val="hybridMultilevel"/>
    <w:tmpl w:val="B186D484"/>
    <w:lvl w:ilvl="0" w:tplc="BB986A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20200"/>
    <w:multiLevelType w:val="hybridMultilevel"/>
    <w:tmpl w:val="FD483952"/>
    <w:lvl w:ilvl="0" w:tplc="096821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6624C"/>
    <w:multiLevelType w:val="hybridMultilevel"/>
    <w:tmpl w:val="5BAAEE06"/>
    <w:lvl w:ilvl="0" w:tplc="9F668D6E">
      <w:numFmt w:val="bullet"/>
      <w:lvlText w:val="-"/>
      <w:lvlJc w:val="left"/>
      <w:pPr>
        <w:ind w:left="346" w:hanging="360"/>
      </w:pPr>
      <w:rPr>
        <w:rFonts w:ascii="Arial" w:eastAsia="Times New Roman" w:hAnsi="Arial" w:cs="Aria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4" w15:restartNumberingAfterBreak="0">
    <w:nsid w:val="4F03623C"/>
    <w:multiLevelType w:val="multilevel"/>
    <w:tmpl w:val="B74E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76A29"/>
    <w:multiLevelType w:val="multilevel"/>
    <w:tmpl w:val="D060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064076"/>
    <w:multiLevelType w:val="multilevel"/>
    <w:tmpl w:val="6688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4535F"/>
    <w:multiLevelType w:val="multilevel"/>
    <w:tmpl w:val="3996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536850"/>
    <w:multiLevelType w:val="hybridMultilevel"/>
    <w:tmpl w:val="3B46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564B5"/>
    <w:multiLevelType w:val="multilevel"/>
    <w:tmpl w:val="85E0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965CE0"/>
    <w:multiLevelType w:val="hybridMultilevel"/>
    <w:tmpl w:val="5D5E7CC2"/>
    <w:lvl w:ilvl="0" w:tplc="C0586D04">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1" w15:restartNumberingAfterBreak="0">
    <w:nsid w:val="76CF3773"/>
    <w:multiLevelType w:val="hybridMultilevel"/>
    <w:tmpl w:val="F87C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83820"/>
    <w:multiLevelType w:val="multilevel"/>
    <w:tmpl w:val="A3A6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E231B7"/>
    <w:multiLevelType w:val="multilevel"/>
    <w:tmpl w:val="DB78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A36447"/>
    <w:multiLevelType w:val="multilevel"/>
    <w:tmpl w:val="71007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28"/>
  </w:num>
  <w:num w:numId="4">
    <w:abstractNumId w:val="7"/>
  </w:num>
  <w:num w:numId="5">
    <w:abstractNumId w:val="8"/>
  </w:num>
  <w:num w:numId="6">
    <w:abstractNumId w:val="23"/>
  </w:num>
  <w:num w:numId="7">
    <w:abstractNumId w:val="34"/>
  </w:num>
  <w:num w:numId="8">
    <w:abstractNumId w:val="21"/>
  </w:num>
  <w:num w:numId="9">
    <w:abstractNumId w:val="30"/>
  </w:num>
  <w:num w:numId="10">
    <w:abstractNumId w:val="9"/>
  </w:num>
  <w:num w:numId="11">
    <w:abstractNumId w:val="31"/>
  </w:num>
  <w:num w:numId="12">
    <w:abstractNumId w:val="19"/>
  </w:num>
  <w:num w:numId="13">
    <w:abstractNumId w:val="5"/>
  </w:num>
  <w:num w:numId="14">
    <w:abstractNumId w:val="13"/>
  </w:num>
  <w:num w:numId="15">
    <w:abstractNumId w:val="14"/>
  </w:num>
  <w:num w:numId="16">
    <w:abstractNumId w:val="24"/>
  </w:num>
  <w:num w:numId="17">
    <w:abstractNumId w:val="4"/>
  </w:num>
  <w:num w:numId="18">
    <w:abstractNumId w:val="29"/>
  </w:num>
  <w:num w:numId="19">
    <w:abstractNumId w:val="10"/>
  </w:num>
  <w:num w:numId="20">
    <w:abstractNumId w:val="2"/>
  </w:num>
  <w:num w:numId="21">
    <w:abstractNumId w:val="11"/>
  </w:num>
  <w:num w:numId="22">
    <w:abstractNumId w:val="12"/>
  </w:num>
  <w:num w:numId="23">
    <w:abstractNumId w:val="1"/>
  </w:num>
  <w:num w:numId="24">
    <w:abstractNumId w:val="26"/>
  </w:num>
  <w:num w:numId="25">
    <w:abstractNumId w:val="17"/>
  </w:num>
  <w:num w:numId="26">
    <w:abstractNumId w:val="33"/>
  </w:num>
  <w:num w:numId="27">
    <w:abstractNumId w:val="6"/>
  </w:num>
  <w:num w:numId="28">
    <w:abstractNumId w:val="3"/>
  </w:num>
  <w:num w:numId="29">
    <w:abstractNumId w:val="27"/>
  </w:num>
  <w:num w:numId="30">
    <w:abstractNumId w:val="16"/>
  </w:num>
  <w:num w:numId="31">
    <w:abstractNumId w:val="22"/>
  </w:num>
  <w:num w:numId="32">
    <w:abstractNumId w:val="18"/>
  </w:num>
  <w:num w:numId="33">
    <w:abstractNumId w:val="32"/>
  </w:num>
  <w:num w:numId="34">
    <w:abstractNumId w:val="2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96"/>
    <w:rsid w:val="000023FA"/>
    <w:rsid w:val="0000572C"/>
    <w:rsid w:val="00014B2B"/>
    <w:rsid w:val="00015B88"/>
    <w:rsid w:val="0001674E"/>
    <w:rsid w:val="00033BC1"/>
    <w:rsid w:val="000375BC"/>
    <w:rsid w:val="000401B9"/>
    <w:rsid w:val="0004144E"/>
    <w:rsid w:val="00044782"/>
    <w:rsid w:val="0005500E"/>
    <w:rsid w:val="00055836"/>
    <w:rsid w:val="0006685D"/>
    <w:rsid w:val="000668B8"/>
    <w:rsid w:val="00066926"/>
    <w:rsid w:val="00067419"/>
    <w:rsid w:val="0007753B"/>
    <w:rsid w:val="0008347D"/>
    <w:rsid w:val="000C3CC2"/>
    <w:rsid w:val="000C7E54"/>
    <w:rsid w:val="000D1317"/>
    <w:rsid w:val="000D1F85"/>
    <w:rsid w:val="000D5BF1"/>
    <w:rsid w:val="000E76F2"/>
    <w:rsid w:val="000E7F4F"/>
    <w:rsid w:val="000F0D92"/>
    <w:rsid w:val="000F3F06"/>
    <w:rsid w:val="000F5549"/>
    <w:rsid w:val="000F5E63"/>
    <w:rsid w:val="000F7664"/>
    <w:rsid w:val="001032BB"/>
    <w:rsid w:val="00106EDF"/>
    <w:rsid w:val="00120B26"/>
    <w:rsid w:val="00120F41"/>
    <w:rsid w:val="00124A68"/>
    <w:rsid w:val="00127461"/>
    <w:rsid w:val="00133ECA"/>
    <w:rsid w:val="00134591"/>
    <w:rsid w:val="00137237"/>
    <w:rsid w:val="001423D0"/>
    <w:rsid w:val="001436CF"/>
    <w:rsid w:val="00145591"/>
    <w:rsid w:val="00151D6F"/>
    <w:rsid w:val="00153E6E"/>
    <w:rsid w:val="001567FE"/>
    <w:rsid w:val="0015688A"/>
    <w:rsid w:val="00160B57"/>
    <w:rsid w:val="00162AD5"/>
    <w:rsid w:val="00163D7C"/>
    <w:rsid w:val="00176189"/>
    <w:rsid w:val="001763A5"/>
    <w:rsid w:val="00187EF2"/>
    <w:rsid w:val="00190130"/>
    <w:rsid w:val="0019185E"/>
    <w:rsid w:val="00193471"/>
    <w:rsid w:val="00193F20"/>
    <w:rsid w:val="001B0CD6"/>
    <w:rsid w:val="001B1F74"/>
    <w:rsid w:val="001B37F2"/>
    <w:rsid w:val="001B3AD3"/>
    <w:rsid w:val="001B7689"/>
    <w:rsid w:val="001B7F31"/>
    <w:rsid w:val="001C0266"/>
    <w:rsid w:val="001C1D0F"/>
    <w:rsid w:val="001C2905"/>
    <w:rsid w:val="001C7C2F"/>
    <w:rsid w:val="001D56DA"/>
    <w:rsid w:val="001E2D2D"/>
    <w:rsid w:val="001E30D3"/>
    <w:rsid w:val="001E3806"/>
    <w:rsid w:val="001E5773"/>
    <w:rsid w:val="001E5B93"/>
    <w:rsid w:val="001E6302"/>
    <w:rsid w:val="001E72D2"/>
    <w:rsid w:val="001E750D"/>
    <w:rsid w:val="001E7984"/>
    <w:rsid w:val="001F1212"/>
    <w:rsid w:val="001F3212"/>
    <w:rsid w:val="001F7613"/>
    <w:rsid w:val="001F7E23"/>
    <w:rsid w:val="002076DF"/>
    <w:rsid w:val="00217CF2"/>
    <w:rsid w:val="00223260"/>
    <w:rsid w:val="002233C8"/>
    <w:rsid w:val="0022399D"/>
    <w:rsid w:val="00226DC3"/>
    <w:rsid w:val="0022790A"/>
    <w:rsid w:val="0023260B"/>
    <w:rsid w:val="00232AD5"/>
    <w:rsid w:val="002332FB"/>
    <w:rsid w:val="00236858"/>
    <w:rsid w:val="002371AB"/>
    <w:rsid w:val="0024111A"/>
    <w:rsid w:val="002428D9"/>
    <w:rsid w:val="00242D48"/>
    <w:rsid w:val="00242F64"/>
    <w:rsid w:val="00243E10"/>
    <w:rsid w:val="002459A1"/>
    <w:rsid w:val="0024649B"/>
    <w:rsid w:val="002510E3"/>
    <w:rsid w:val="002531A5"/>
    <w:rsid w:val="0025390A"/>
    <w:rsid w:val="00274043"/>
    <w:rsid w:val="002766E6"/>
    <w:rsid w:val="0028230E"/>
    <w:rsid w:val="00284BEA"/>
    <w:rsid w:val="0028546A"/>
    <w:rsid w:val="0028624E"/>
    <w:rsid w:val="00287445"/>
    <w:rsid w:val="002935CD"/>
    <w:rsid w:val="00294E5A"/>
    <w:rsid w:val="002B069F"/>
    <w:rsid w:val="002B1D65"/>
    <w:rsid w:val="002B620E"/>
    <w:rsid w:val="002B62C7"/>
    <w:rsid w:val="002B737B"/>
    <w:rsid w:val="002C25DF"/>
    <w:rsid w:val="002C3363"/>
    <w:rsid w:val="002C43D2"/>
    <w:rsid w:val="002C4A39"/>
    <w:rsid w:val="002D0F64"/>
    <w:rsid w:val="002D100E"/>
    <w:rsid w:val="002F2E72"/>
    <w:rsid w:val="002F319D"/>
    <w:rsid w:val="002F54CD"/>
    <w:rsid w:val="002F78C3"/>
    <w:rsid w:val="0030242B"/>
    <w:rsid w:val="0030305F"/>
    <w:rsid w:val="003030BD"/>
    <w:rsid w:val="00304B38"/>
    <w:rsid w:val="003071A6"/>
    <w:rsid w:val="003119D0"/>
    <w:rsid w:val="0031656C"/>
    <w:rsid w:val="00321DD9"/>
    <w:rsid w:val="00330D19"/>
    <w:rsid w:val="00334A56"/>
    <w:rsid w:val="00335F13"/>
    <w:rsid w:val="00336F89"/>
    <w:rsid w:val="0034521C"/>
    <w:rsid w:val="0034571D"/>
    <w:rsid w:val="00350712"/>
    <w:rsid w:val="003507B0"/>
    <w:rsid w:val="003516C2"/>
    <w:rsid w:val="003553BB"/>
    <w:rsid w:val="00355EF6"/>
    <w:rsid w:val="0035794B"/>
    <w:rsid w:val="00360631"/>
    <w:rsid w:val="00360EEC"/>
    <w:rsid w:val="0037318A"/>
    <w:rsid w:val="0037471F"/>
    <w:rsid w:val="0039475C"/>
    <w:rsid w:val="003A0736"/>
    <w:rsid w:val="003A7F99"/>
    <w:rsid w:val="003B09B9"/>
    <w:rsid w:val="003B518B"/>
    <w:rsid w:val="003B796D"/>
    <w:rsid w:val="003C4962"/>
    <w:rsid w:val="003C5FDE"/>
    <w:rsid w:val="003C70F4"/>
    <w:rsid w:val="003D0533"/>
    <w:rsid w:val="003D18E4"/>
    <w:rsid w:val="003D5DFA"/>
    <w:rsid w:val="003E02B3"/>
    <w:rsid w:val="003E0C0B"/>
    <w:rsid w:val="003E0ED8"/>
    <w:rsid w:val="003E7658"/>
    <w:rsid w:val="003F1B59"/>
    <w:rsid w:val="003F2EB7"/>
    <w:rsid w:val="003F3154"/>
    <w:rsid w:val="003F3914"/>
    <w:rsid w:val="003F5AEF"/>
    <w:rsid w:val="003F5B53"/>
    <w:rsid w:val="003F605F"/>
    <w:rsid w:val="004034F7"/>
    <w:rsid w:val="004039BD"/>
    <w:rsid w:val="00415F11"/>
    <w:rsid w:val="00420725"/>
    <w:rsid w:val="00420CBA"/>
    <w:rsid w:val="00421473"/>
    <w:rsid w:val="004258AB"/>
    <w:rsid w:val="00436A52"/>
    <w:rsid w:val="004452F9"/>
    <w:rsid w:val="004506EA"/>
    <w:rsid w:val="00452555"/>
    <w:rsid w:val="00460B03"/>
    <w:rsid w:val="0046101E"/>
    <w:rsid w:val="004640EB"/>
    <w:rsid w:val="004651FA"/>
    <w:rsid w:val="004667FD"/>
    <w:rsid w:val="0047272D"/>
    <w:rsid w:val="004727C4"/>
    <w:rsid w:val="00472B82"/>
    <w:rsid w:val="00473856"/>
    <w:rsid w:val="004747E8"/>
    <w:rsid w:val="00476589"/>
    <w:rsid w:val="004832E8"/>
    <w:rsid w:val="00483F46"/>
    <w:rsid w:val="004861E1"/>
    <w:rsid w:val="00486563"/>
    <w:rsid w:val="004A41CC"/>
    <w:rsid w:val="004B1A44"/>
    <w:rsid w:val="004B44C3"/>
    <w:rsid w:val="004C4DC9"/>
    <w:rsid w:val="004C4E3D"/>
    <w:rsid w:val="004C7B75"/>
    <w:rsid w:val="004D7AE5"/>
    <w:rsid w:val="004E4AAD"/>
    <w:rsid w:val="004E4AF3"/>
    <w:rsid w:val="004F2DCA"/>
    <w:rsid w:val="004F5107"/>
    <w:rsid w:val="004F6BCD"/>
    <w:rsid w:val="00501183"/>
    <w:rsid w:val="00503B3E"/>
    <w:rsid w:val="00510381"/>
    <w:rsid w:val="00512E83"/>
    <w:rsid w:val="00515C75"/>
    <w:rsid w:val="00517DE1"/>
    <w:rsid w:val="00523013"/>
    <w:rsid w:val="005240FE"/>
    <w:rsid w:val="00524D35"/>
    <w:rsid w:val="00525E0C"/>
    <w:rsid w:val="00526360"/>
    <w:rsid w:val="00530C7F"/>
    <w:rsid w:val="0053200C"/>
    <w:rsid w:val="00532B12"/>
    <w:rsid w:val="00542234"/>
    <w:rsid w:val="005500C6"/>
    <w:rsid w:val="005538EB"/>
    <w:rsid w:val="00553B70"/>
    <w:rsid w:val="005568EB"/>
    <w:rsid w:val="00557FEE"/>
    <w:rsid w:val="00562706"/>
    <w:rsid w:val="00562B09"/>
    <w:rsid w:val="005725CB"/>
    <w:rsid w:val="00572768"/>
    <w:rsid w:val="0057313E"/>
    <w:rsid w:val="0057723F"/>
    <w:rsid w:val="005776AD"/>
    <w:rsid w:val="00581695"/>
    <w:rsid w:val="0058198B"/>
    <w:rsid w:val="005848B3"/>
    <w:rsid w:val="00585F5A"/>
    <w:rsid w:val="00590759"/>
    <w:rsid w:val="00595A5D"/>
    <w:rsid w:val="00595CDE"/>
    <w:rsid w:val="00596AA7"/>
    <w:rsid w:val="005A0593"/>
    <w:rsid w:val="005B1925"/>
    <w:rsid w:val="005B1AD0"/>
    <w:rsid w:val="005B257B"/>
    <w:rsid w:val="005B3762"/>
    <w:rsid w:val="005C0B73"/>
    <w:rsid w:val="005C1266"/>
    <w:rsid w:val="005C19D5"/>
    <w:rsid w:val="005C2EC4"/>
    <w:rsid w:val="005C4E54"/>
    <w:rsid w:val="005C4F39"/>
    <w:rsid w:val="005C618C"/>
    <w:rsid w:val="005D0731"/>
    <w:rsid w:val="005D3886"/>
    <w:rsid w:val="005D5463"/>
    <w:rsid w:val="005E74C0"/>
    <w:rsid w:val="005F36D0"/>
    <w:rsid w:val="00602A39"/>
    <w:rsid w:val="006039D8"/>
    <w:rsid w:val="00612E33"/>
    <w:rsid w:val="00613C0F"/>
    <w:rsid w:val="006143CE"/>
    <w:rsid w:val="00622DBA"/>
    <w:rsid w:val="006273B9"/>
    <w:rsid w:val="00632545"/>
    <w:rsid w:val="00633E7E"/>
    <w:rsid w:val="00637048"/>
    <w:rsid w:val="006473A2"/>
    <w:rsid w:val="0065076B"/>
    <w:rsid w:val="006516F4"/>
    <w:rsid w:val="00654E69"/>
    <w:rsid w:val="00656901"/>
    <w:rsid w:val="00662B2C"/>
    <w:rsid w:val="00663AEC"/>
    <w:rsid w:val="00670F9D"/>
    <w:rsid w:val="00673450"/>
    <w:rsid w:val="0067460E"/>
    <w:rsid w:val="00674B85"/>
    <w:rsid w:val="00681E8A"/>
    <w:rsid w:val="006833AB"/>
    <w:rsid w:val="00683C78"/>
    <w:rsid w:val="00686E7D"/>
    <w:rsid w:val="00690B96"/>
    <w:rsid w:val="00693627"/>
    <w:rsid w:val="006956E9"/>
    <w:rsid w:val="00695B1A"/>
    <w:rsid w:val="0069643C"/>
    <w:rsid w:val="006A1EF4"/>
    <w:rsid w:val="006A5736"/>
    <w:rsid w:val="006A66C9"/>
    <w:rsid w:val="006B1830"/>
    <w:rsid w:val="006B44D0"/>
    <w:rsid w:val="006C3964"/>
    <w:rsid w:val="006C4739"/>
    <w:rsid w:val="006C4750"/>
    <w:rsid w:val="006D6F58"/>
    <w:rsid w:val="006D7D75"/>
    <w:rsid w:val="006E2A25"/>
    <w:rsid w:val="006E2A6E"/>
    <w:rsid w:val="006E79E2"/>
    <w:rsid w:val="006F28FB"/>
    <w:rsid w:val="006F7489"/>
    <w:rsid w:val="00703E84"/>
    <w:rsid w:val="0070655B"/>
    <w:rsid w:val="0071199C"/>
    <w:rsid w:val="00714D4F"/>
    <w:rsid w:val="00716E63"/>
    <w:rsid w:val="00721EB0"/>
    <w:rsid w:val="007301B4"/>
    <w:rsid w:val="0073641C"/>
    <w:rsid w:val="0074176D"/>
    <w:rsid w:val="00751E97"/>
    <w:rsid w:val="00752461"/>
    <w:rsid w:val="00752DCA"/>
    <w:rsid w:val="00757A3A"/>
    <w:rsid w:val="00762188"/>
    <w:rsid w:val="007628D0"/>
    <w:rsid w:val="00762A36"/>
    <w:rsid w:val="0077022F"/>
    <w:rsid w:val="0077257E"/>
    <w:rsid w:val="00773C76"/>
    <w:rsid w:val="007766D7"/>
    <w:rsid w:val="00784326"/>
    <w:rsid w:val="0078614F"/>
    <w:rsid w:val="00786E6A"/>
    <w:rsid w:val="0078711A"/>
    <w:rsid w:val="00793DA4"/>
    <w:rsid w:val="0079435D"/>
    <w:rsid w:val="007B0BFE"/>
    <w:rsid w:val="007D1E00"/>
    <w:rsid w:val="007D4914"/>
    <w:rsid w:val="007D5F43"/>
    <w:rsid w:val="007D6BEF"/>
    <w:rsid w:val="007E0D4A"/>
    <w:rsid w:val="007F0E3A"/>
    <w:rsid w:val="007F2064"/>
    <w:rsid w:val="007F2446"/>
    <w:rsid w:val="007F5416"/>
    <w:rsid w:val="007F6669"/>
    <w:rsid w:val="008003DD"/>
    <w:rsid w:val="008008DA"/>
    <w:rsid w:val="0082399B"/>
    <w:rsid w:val="00842C8F"/>
    <w:rsid w:val="00843725"/>
    <w:rsid w:val="00843C80"/>
    <w:rsid w:val="0085151E"/>
    <w:rsid w:val="00856DDA"/>
    <w:rsid w:val="00861469"/>
    <w:rsid w:val="00863B67"/>
    <w:rsid w:val="0086589A"/>
    <w:rsid w:val="00866B1A"/>
    <w:rsid w:val="00871234"/>
    <w:rsid w:val="00873760"/>
    <w:rsid w:val="008760CE"/>
    <w:rsid w:val="00877113"/>
    <w:rsid w:val="008815F9"/>
    <w:rsid w:val="008853A7"/>
    <w:rsid w:val="00886F00"/>
    <w:rsid w:val="008873B7"/>
    <w:rsid w:val="008B197A"/>
    <w:rsid w:val="008B3955"/>
    <w:rsid w:val="008B4613"/>
    <w:rsid w:val="008B520F"/>
    <w:rsid w:val="008C21B9"/>
    <w:rsid w:val="008C472E"/>
    <w:rsid w:val="008D3B83"/>
    <w:rsid w:val="008D49B0"/>
    <w:rsid w:val="008D75FE"/>
    <w:rsid w:val="008E633D"/>
    <w:rsid w:val="008E64F5"/>
    <w:rsid w:val="008E70FF"/>
    <w:rsid w:val="008E79F9"/>
    <w:rsid w:val="008F3A20"/>
    <w:rsid w:val="00900BED"/>
    <w:rsid w:val="00905F50"/>
    <w:rsid w:val="00912D70"/>
    <w:rsid w:val="00914F19"/>
    <w:rsid w:val="00915CBB"/>
    <w:rsid w:val="00922C90"/>
    <w:rsid w:val="00923F39"/>
    <w:rsid w:val="0093072D"/>
    <w:rsid w:val="009355D4"/>
    <w:rsid w:val="009375AA"/>
    <w:rsid w:val="009402BE"/>
    <w:rsid w:val="00944297"/>
    <w:rsid w:val="00946531"/>
    <w:rsid w:val="00946D57"/>
    <w:rsid w:val="009515C1"/>
    <w:rsid w:val="00951AAE"/>
    <w:rsid w:val="00954019"/>
    <w:rsid w:val="00957D82"/>
    <w:rsid w:val="00977813"/>
    <w:rsid w:val="00982C48"/>
    <w:rsid w:val="00985F9B"/>
    <w:rsid w:val="009A02B2"/>
    <w:rsid w:val="009A3FA9"/>
    <w:rsid w:val="009A4450"/>
    <w:rsid w:val="009B5AF4"/>
    <w:rsid w:val="009B68B7"/>
    <w:rsid w:val="009C7B54"/>
    <w:rsid w:val="009D30D2"/>
    <w:rsid w:val="009D338F"/>
    <w:rsid w:val="009D4866"/>
    <w:rsid w:val="009D4DE8"/>
    <w:rsid w:val="009D6332"/>
    <w:rsid w:val="009F1619"/>
    <w:rsid w:val="009F29B0"/>
    <w:rsid w:val="009F39E0"/>
    <w:rsid w:val="009F4DAC"/>
    <w:rsid w:val="00A009FC"/>
    <w:rsid w:val="00A045A2"/>
    <w:rsid w:val="00A10E4C"/>
    <w:rsid w:val="00A234B3"/>
    <w:rsid w:val="00A36763"/>
    <w:rsid w:val="00A41C4F"/>
    <w:rsid w:val="00A431CC"/>
    <w:rsid w:val="00A454C9"/>
    <w:rsid w:val="00A53DCC"/>
    <w:rsid w:val="00A5729F"/>
    <w:rsid w:val="00A65F38"/>
    <w:rsid w:val="00A65F39"/>
    <w:rsid w:val="00A6623B"/>
    <w:rsid w:val="00A676D7"/>
    <w:rsid w:val="00A71558"/>
    <w:rsid w:val="00A73AC3"/>
    <w:rsid w:val="00A81430"/>
    <w:rsid w:val="00A961AE"/>
    <w:rsid w:val="00AA30EC"/>
    <w:rsid w:val="00AC56D5"/>
    <w:rsid w:val="00AC771D"/>
    <w:rsid w:val="00AD18BD"/>
    <w:rsid w:val="00AD386B"/>
    <w:rsid w:val="00AD3AA6"/>
    <w:rsid w:val="00AD6126"/>
    <w:rsid w:val="00AE4893"/>
    <w:rsid w:val="00AE756B"/>
    <w:rsid w:val="00AF0144"/>
    <w:rsid w:val="00AF0268"/>
    <w:rsid w:val="00AF4268"/>
    <w:rsid w:val="00AF4963"/>
    <w:rsid w:val="00AF52A3"/>
    <w:rsid w:val="00AF5AA0"/>
    <w:rsid w:val="00B06B5B"/>
    <w:rsid w:val="00B117CC"/>
    <w:rsid w:val="00B11AF4"/>
    <w:rsid w:val="00B11E9E"/>
    <w:rsid w:val="00B23721"/>
    <w:rsid w:val="00B23CBA"/>
    <w:rsid w:val="00B244C5"/>
    <w:rsid w:val="00B246CF"/>
    <w:rsid w:val="00B30A4D"/>
    <w:rsid w:val="00B30DC8"/>
    <w:rsid w:val="00B31FF4"/>
    <w:rsid w:val="00B42700"/>
    <w:rsid w:val="00B4342D"/>
    <w:rsid w:val="00B438B4"/>
    <w:rsid w:val="00B43BC6"/>
    <w:rsid w:val="00B44960"/>
    <w:rsid w:val="00B47F04"/>
    <w:rsid w:val="00B57147"/>
    <w:rsid w:val="00B62DD4"/>
    <w:rsid w:val="00B7166C"/>
    <w:rsid w:val="00B71812"/>
    <w:rsid w:val="00B73848"/>
    <w:rsid w:val="00B757E2"/>
    <w:rsid w:val="00B7590C"/>
    <w:rsid w:val="00B76773"/>
    <w:rsid w:val="00B768EC"/>
    <w:rsid w:val="00B770F7"/>
    <w:rsid w:val="00B9221C"/>
    <w:rsid w:val="00B92A35"/>
    <w:rsid w:val="00B953FD"/>
    <w:rsid w:val="00BA2011"/>
    <w:rsid w:val="00BB0D2C"/>
    <w:rsid w:val="00BB4B8C"/>
    <w:rsid w:val="00BB6E75"/>
    <w:rsid w:val="00BB7834"/>
    <w:rsid w:val="00BC024D"/>
    <w:rsid w:val="00BD1DD5"/>
    <w:rsid w:val="00BD65D7"/>
    <w:rsid w:val="00BF38C1"/>
    <w:rsid w:val="00BF4FD7"/>
    <w:rsid w:val="00BF5E93"/>
    <w:rsid w:val="00C0294C"/>
    <w:rsid w:val="00C03628"/>
    <w:rsid w:val="00C039B3"/>
    <w:rsid w:val="00C054E4"/>
    <w:rsid w:val="00C13A00"/>
    <w:rsid w:val="00C14E2D"/>
    <w:rsid w:val="00C20865"/>
    <w:rsid w:val="00C23585"/>
    <w:rsid w:val="00C25A68"/>
    <w:rsid w:val="00C25E7F"/>
    <w:rsid w:val="00C27121"/>
    <w:rsid w:val="00C30777"/>
    <w:rsid w:val="00C329EE"/>
    <w:rsid w:val="00C34236"/>
    <w:rsid w:val="00C427B1"/>
    <w:rsid w:val="00C43544"/>
    <w:rsid w:val="00C44D21"/>
    <w:rsid w:val="00C47F69"/>
    <w:rsid w:val="00C56596"/>
    <w:rsid w:val="00C56838"/>
    <w:rsid w:val="00C56ECF"/>
    <w:rsid w:val="00C6566C"/>
    <w:rsid w:val="00C65D0C"/>
    <w:rsid w:val="00C665A7"/>
    <w:rsid w:val="00C83C8E"/>
    <w:rsid w:val="00C84D38"/>
    <w:rsid w:val="00C853EF"/>
    <w:rsid w:val="00C91D29"/>
    <w:rsid w:val="00CA0F78"/>
    <w:rsid w:val="00CA27F6"/>
    <w:rsid w:val="00CA45D3"/>
    <w:rsid w:val="00CB1466"/>
    <w:rsid w:val="00CB22B9"/>
    <w:rsid w:val="00CB41D7"/>
    <w:rsid w:val="00CB5A0D"/>
    <w:rsid w:val="00CC7D56"/>
    <w:rsid w:val="00CD01E4"/>
    <w:rsid w:val="00CD3FB9"/>
    <w:rsid w:val="00CE321F"/>
    <w:rsid w:val="00CE3AF2"/>
    <w:rsid w:val="00CF210C"/>
    <w:rsid w:val="00CF6087"/>
    <w:rsid w:val="00CF6BBC"/>
    <w:rsid w:val="00D01121"/>
    <w:rsid w:val="00D01B41"/>
    <w:rsid w:val="00D02907"/>
    <w:rsid w:val="00D05FC7"/>
    <w:rsid w:val="00D06CB8"/>
    <w:rsid w:val="00D06DAC"/>
    <w:rsid w:val="00D116D8"/>
    <w:rsid w:val="00D11AFB"/>
    <w:rsid w:val="00D12006"/>
    <w:rsid w:val="00D14AF0"/>
    <w:rsid w:val="00D21985"/>
    <w:rsid w:val="00D24EBD"/>
    <w:rsid w:val="00D255AE"/>
    <w:rsid w:val="00D25FB7"/>
    <w:rsid w:val="00D26C17"/>
    <w:rsid w:val="00D32C3E"/>
    <w:rsid w:val="00D364AC"/>
    <w:rsid w:val="00D37317"/>
    <w:rsid w:val="00D41265"/>
    <w:rsid w:val="00D41748"/>
    <w:rsid w:val="00D44771"/>
    <w:rsid w:val="00D620B4"/>
    <w:rsid w:val="00D6726E"/>
    <w:rsid w:val="00D67BFD"/>
    <w:rsid w:val="00D74296"/>
    <w:rsid w:val="00D83D9C"/>
    <w:rsid w:val="00D84992"/>
    <w:rsid w:val="00D85A7D"/>
    <w:rsid w:val="00D86149"/>
    <w:rsid w:val="00D86BF6"/>
    <w:rsid w:val="00D91969"/>
    <w:rsid w:val="00D93EAA"/>
    <w:rsid w:val="00D9633B"/>
    <w:rsid w:val="00DA3FA8"/>
    <w:rsid w:val="00DA4B4A"/>
    <w:rsid w:val="00DA5ACF"/>
    <w:rsid w:val="00DB0C4C"/>
    <w:rsid w:val="00DB35E4"/>
    <w:rsid w:val="00DB390E"/>
    <w:rsid w:val="00DB44D4"/>
    <w:rsid w:val="00DB4B9F"/>
    <w:rsid w:val="00DB65FB"/>
    <w:rsid w:val="00DB77B8"/>
    <w:rsid w:val="00DC0E68"/>
    <w:rsid w:val="00DC62B4"/>
    <w:rsid w:val="00DC62C0"/>
    <w:rsid w:val="00DD34E4"/>
    <w:rsid w:val="00DD51D3"/>
    <w:rsid w:val="00DE24EE"/>
    <w:rsid w:val="00DE3394"/>
    <w:rsid w:val="00DF708B"/>
    <w:rsid w:val="00DF72BB"/>
    <w:rsid w:val="00E0044C"/>
    <w:rsid w:val="00E005BD"/>
    <w:rsid w:val="00E00D71"/>
    <w:rsid w:val="00E018B9"/>
    <w:rsid w:val="00E059AD"/>
    <w:rsid w:val="00E0641C"/>
    <w:rsid w:val="00E10A58"/>
    <w:rsid w:val="00E22D4C"/>
    <w:rsid w:val="00E23E89"/>
    <w:rsid w:val="00E25B5F"/>
    <w:rsid w:val="00E26A39"/>
    <w:rsid w:val="00E27FA4"/>
    <w:rsid w:val="00E40E1E"/>
    <w:rsid w:val="00E433AA"/>
    <w:rsid w:val="00E443EA"/>
    <w:rsid w:val="00E463DC"/>
    <w:rsid w:val="00E472CB"/>
    <w:rsid w:val="00E511C9"/>
    <w:rsid w:val="00E55557"/>
    <w:rsid w:val="00E6042F"/>
    <w:rsid w:val="00E60884"/>
    <w:rsid w:val="00E6140F"/>
    <w:rsid w:val="00E62B67"/>
    <w:rsid w:val="00E62F76"/>
    <w:rsid w:val="00E670F3"/>
    <w:rsid w:val="00E722BC"/>
    <w:rsid w:val="00E835C5"/>
    <w:rsid w:val="00E84902"/>
    <w:rsid w:val="00E92ACC"/>
    <w:rsid w:val="00E94D8F"/>
    <w:rsid w:val="00EA29C4"/>
    <w:rsid w:val="00EA5072"/>
    <w:rsid w:val="00EA744B"/>
    <w:rsid w:val="00EB2468"/>
    <w:rsid w:val="00EB33D9"/>
    <w:rsid w:val="00EB5433"/>
    <w:rsid w:val="00EC1727"/>
    <w:rsid w:val="00EC39B9"/>
    <w:rsid w:val="00ED0F59"/>
    <w:rsid w:val="00ED7EF2"/>
    <w:rsid w:val="00EE0A82"/>
    <w:rsid w:val="00EE330F"/>
    <w:rsid w:val="00EE7F0B"/>
    <w:rsid w:val="00EF1334"/>
    <w:rsid w:val="00EF2036"/>
    <w:rsid w:val="00EF6350"/>
    <w:rsid w:val="00F00763"/>
    <w:rsid w:val="00F00AB1"/>
    <w:rsid w:val="00F03546"/>
    <w:rsid w:val="00F04785"/>
    <w:rsid w:val="00F04C18"/>
    <w:rsid w:val="00F10892"/>
    <w:rsid w:val="00F11DCC"/>
    <w:rsid w:val="00F163DB"/>
    <w:rsid w:val="00F16C41"/>
    <w:rsid w:val="00F17442"/>
    <w:rsid w:val="00F25492"/>
    <w:rsid w:val="00F302A5"/>
    <w:rsid w:val="00F323E8"/>
    <w:rsid w:val="00F35B62"/>
    <w:rsid w:val="00F41F9E"/>
    <w:rsid w:val="00F43017"/>
    <w:rsid w:val="00F45213"/>
    <w:rsid w:val="00F46E7A"/>
    <w:rsid w:val="00F500B9"/>
    <w:rsid w:val="00F5117A"/>
    <w:rsid w:val="00F52C33"/>
    <w:rsid w:val="00F53A58"/>
    <w:rsid w:val="00F57028"/>
    <w:rsid w:val="00F60974"/>
    <w:rsid w:val="00F63322"/>
    <w:rsid w:val="00F63964"/>
    <w:rsid w:val="00F6532E"/>
    <w:rsid w:val="00F67230"/>
    <w:rsid w:val="00F67D60"/>
    <w:rsid w:val="00F705C3"/>
    <w:rsid w:val="00F75E4F"/>
    <w:rsid w:val="00F76353"/>
    <w:rsid w:val="00F76B1C"/>
    <w:rsid w:val="00F817E4"/>
    <w:rsid w:val="00F8513A"/>
    <w:rsid w:val="00F854CD"/>
    <w:rsid w:val="00F87423"/>
    <w:rsid w:val="00F93E9F"/>
    <w:rsid w:val="00FA333E"/>
    <w:rsid w:val="00FA74A0"/>
    <w:rsid w:val="00FB2D33"/>
    <w:rsid w:val="00FB3073"/>
    <w:rsid w:val="00FB3872"/>
    <w:rsid w:val="00FB3A0B"/>
    <w:rsid w:val="00FC0C00"/>
    <w:rsid w:val="00FC764A"/>
    <w:rsid w:val="00FD51C6"/>
    <w:rsid w:val="00FE29AC"/>
    <w:rsid w:val="00FE326F"/>
    <w:rsid w:val="00FE6AFC"/>
    <w:rsid w:val="00FF0F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3896E1"/>
  <w15:chartTrackingRefBased/>
  <w15:docId w15:val="{74B382D6-24CD-4B58-9F54-01ADAE4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296"/>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B30A4D"/>
    <w:pPr>
      <w:shd w:val="clear" w:color="auto" w:fill="DBE5F1" w:themeFill="accent1" w:themeFillTint="33"/>
      <w:jc w:val="both"/>
      <w:outlineLvl w:val="0"/>
    </w:pPr>
    <w:rPr>
      <w:rFonts w:ascii="Century Gothic" w:hAnsi="Century Gothic"/>
      <w:b/>
      <w:sz w:val="28"/>
    </w:rPr>
  </w:style>
  <w:style w:type="paragraph" w:styleId="Heading2">
    <w:name w:val="heading 2"/>
    <w:basedOn w:val="Normal"/>
    <w:link w:val="Heading2Char"/>
    <w:uiPriority w:val="9"/>
    <w:qFormat/>
    <w:rsid w:val="00B30A4D"/>
    <w:pPr>
      <w:jc w:val="both"/>
      <w:outlineLvl w:val="1"/>
    </w:pPr>
    <w:rPr>
      <w:rFonts w:ascii="Century Gothic" w:hAnsi="Century Gothic"/>
      <w:b/>
    </w:rPr>
  </w:style>
  <w:style w:type="paragraph" w:styleId="Heading3">
    <w:name w:val="heading 3"/>
    <w:basedOn w:val="Normal"/>
    <w:next w:val="Normal"/>
    <w:link w:val="Heading3Char"/>
    <w:uiPriority w:val="9"/>
    <w:unhideWhenUsed/>
    <w:qFormat/>
    <w:rsid w:val="00B30A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4D"/>
    <w:rPr>
      <w:rFonts w:ascii="Century Gothic" w:hAnsi="Century Gothic"/>
      <w:b/>
      <w:sz w:val="28"/>
      <w:shd w:val="clear" w:color="auto" w:fill="DBE5F1" w:themeFill="accent1" w:themeFillTint="33"/>
    </w:rPr>
  </w:style>
  <w:style w:type="character" w:customStyle="1" w:styleId="Heading2Char">
    <w:name w:val="Heading 2 Char"/>
    <w:basedOn w:val="DefaultParagraphFont"/>
    <w:link w:val="Heading2"/>
    <w:uiPriority w:val="9"/>
    <w:rsid w:val="00B30A4D"/>
    <w:rPr>
      <w:rFonts w:ascii="Century Gothic" w:hAnsi="Century Gothic"/>
      <w:b/>
      <w:sz w:val="24"/>
    </w:rPr>
  </w:style>
  <w:style w:type="character" w:customStyle="1" w:styleId="Heading3Char">
    <w:name w:val="Heading 3 Char"/>
    <w:basedOn w:val="DefaultParagraphFont"/>
    <w:link w:val="Heading3"/>
    <w:uiPriority w:val="9"/>
    <w:rsid w:val="00B30A4D"/>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qFormat/>
    <w:rsid w:val="00B30A4D"/>
    <w:rPr>
      <w:vertAlign w:val="superscript"/>
    </w:rPr>
  </w:style>
  <w:style w:type="character" w:styleId="Strong">
    <w:name w:val="Strong"/>
    <w:basedOn w:val="DefaultParagraphFont"/>
    <w:uiPriority w:val="22"/>
    <w:qFormat/>
    <w:rsid w:val="00B30A4D"/>
    <w:rPr>
      <w:b/>
      <w:bCs/>
    </w:rPr>
  </w:style>
  <w:style w:type="paragraph" w:styleId="ListParagraph">
    <w:name w:val="List Paragraph"/>
    <w:basedOn w:val="Normal"/>
    <w:uiPriority w:val="34"/>
    <w:qFormat/>
    <w:rsid w:val="00B30A4D"/>
    <w:pPr>
      <w:ind w:left="720"/>
      <w:contextualSpacing/>
    </w:pPr>
  </w:style>
  <w:style w:type="paragraph" w:styleId="TOCHeading">
    <w:name w:val="TOC Heading"/>
    <w:basedOn w:val="Heading1"/>
    <w:next w:val="Normal"/>
    <w:uiPriority w:val="39"/>
    <w:unhideWhenUsed/>
    <w:qFormat/>
    <w:rsid w:val="00B30A4D"/>
    <w:pPr>
      <w:outlineLvl w:val="9"/>
    </w:pPr>
  </w:style>
  <w:style w:type="character" w:styleId="Hyperlink">
    <w:name w:val="Hyperlink"/>
    <w:uiPriority w:val="99"/>
    <w:unhideWhenUsed/>
    <w:qFormat/>
    <w:rsid w:val="00C30777"/>
    <w:rPr>
      <w:color w:val="0000FF"/>
      <w:u w:val="single"/>
    </w:rPr>
  </w:style>
  <w:style w:type="character" w:styleId="UnresolvedMention">
    <w:name w:val="Unresolved Mention"/>
    <w:basedOn w:val="DefaultParagraphFont"/>
    <w:uiPriority w:val="99"/>
    <w:semiHidden/>
    <w:unhideWhenUsed/>
    <w:rsid w:val="00C30777"/>
    <w:rPr>
      <w:color w:val="605E5C"/>
      <w:shd w:val="clear" w:color="auto" w:fill="E1DFDD"/>
    </w:rPr>
  </w:style>
  <w:style w:type="paragraph" w:styleId="EndnoteText">
    <w:name w:val="endnote text"/>
    <w:basedOn w:val="Normal"/>
    <w:link w:val="EndnoteTextChar"/>
    <w:uiPriority w:val="99"/>
    <w:semiHidden/>
    <w:unhideWhenUsed/>
    <w:rsid w:val="00ED0F59"/>
    <w:rPr>
      <w:sz w:val="20"/>
      <w:szCs w:val="20"/>
    </w:rPr>
  </w:style>
  <w:style w:type="character" w:customStyle="1" w:styleId="EndnoteTextChar">
    <w:name w:val="Endnote Text Char"/>
    <w:basedOn w:val="DefaultParagraphFont"/>
    <w:link w:val="EndnoteText"/>
    <w:uiPriority w:val="99"/>
    <w:semiHidden/>
    <w:rsid w:val="00ED0F59"/>
    <w:rPr>
      <w:rFonts w:ascii="Times New Roman" w:eastAsia="Times New Roman" w:hAnsi="Times New Roman" w:cs="Times New Roman"/>
      <w:sz w:val="20"/>
      <w:szCs w:val="20"/>
      <w:lang w:val="el-GR" w:eastAsia="el-GR"/>
    </w:rPr>
  </w:style>
  <w:style w:type="character" w:styleId="EndnoteReference">
    <w:name w:val="endnote reference"/>
    <w:basedOn w:val="DefaultParagraphFont"/>
    <w:uiPriority w:val="99"/>
    <w:semiHidden/>
    <w:unhideWhenUsed/>
    <w:rsid w:val="00ED0F59"/>
    <w:rPr>
      <w:vertAlign w:val="superscript"/>
    </w:rPr>
  </w:style>
  <w:style w:type="character" w:styleId="FollowedHyperlink">
    <w:name w:val="FollowedHyperlink"/>
    <w:basedOn w:val="DefaultParagraphFont"/>
    <w:uiPriority w:val="99"/>
    <w:semiHidden/>
    <w:unhideWhenUsed/>
    <w:rsid w:val="00B23721"/>
    <w:rPr>
      <w:color w:val="800080" w:themeColor="followedHyperlink"/>
      <w:u w:val="single"/>
    </w:rPr>
  </w:style>
  <w:style w:type="paragraph" w:styleId="Header">
    <w:name w:val="header"/>
    <w:basedOn w:val="Normal"/>
    <w:link w:val="HeaderChar"/>
    <w:uiPriority w:val="99"/>
    <w:unhideWhenUsed/>
    <w:rsid w:val="0022399D"/>
    <w:pPr>
      <w:tabs>
        <w:tab w:val="center" w:pos="4680"/>
        <w:tab w:val="right" w:pos="9360"/>
      </w:tabs>
    </w:pPr>
  </w:style>
  <w:style w:type="character" w:customStyle="1" w:styleId="HeaderChar">
    <w:name w:val="Header Char"/>
    <w:basedOn w:val="DefaultParagraphFont"/>
    <w:link w:val="Header"/>
    <w:uiPriority w:val="99"/>
    <w:rsid w:val="0022399D"/>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qFormat/>
    <w:rsid w:val="0022399D"/>
    <w:pPr>
      <w:tabs>
        <w:tab w:val="center" w:pos="4680"/>
        <w:tab w:val="right" w:pos="9360"/>
      </w:tabs>
    </w:pPr>
  </w:style>
  <w:style w:type="character" w:customStyle="1" w:styleId="FooterChar">
    <w:name w:val="Footer Char"/>
    <w:basedOn w:val="DefaultParagraphFont"/>
    <w:link w:val="Footer"/>
    <w:uiPriority w:val="99"/>
    <w:rsid w:val="0022399D"/>
    <w:rPr>
      <w:rFonts w:ascii="Times New Roman" w:eastAsia="Times New Roman" w:hAnsi="Times New Roman" w:cs="Times New Roman"/>
      <w:sz w:val="24"/>
      <w:szCs w:val="24"/>
      <w:lang w:val="el-GR" w:eastAsia="el-GR"/>
    </w:rPr>
  </w:style>
  <w:style w:type="character" w:customStyle="1" w:styleId="hwtze">
    <w:name w:val="hwtze"/>
    <w:basedOn w:val="DefaultParagraphFont"/>
    <w:rsid w:val="00B30DC8"/>
  </w:style>
  <w:style w:type="character" w:customStyle="1" w:styleId="rynqvb">
    <w:name w:val="rynqvb"/>
    <w:basedOn w:val="DefaultParagraphFont"/>
    <w:rsid w:val="00B30DC8"/>
  </w:style>
  <w:style w:type="paragraph" w:styleId="NormalWeb">
    <w:name w:val="Normal (Web)"/>
    <w:basedOn w:val="Normal"/>
    <w:uiPriority w:val="99"/>
    <w:unhideWhenUsed/>
    <w:rsid w:val="005E74C0"/>
    <w:pPr>
      <w:spacing w:before="100" w:beforeAutospacing="1" w:after="100" w:afterAutospacing="1"/>
    </w:pPr>
    <w:rPr>
      <w:lang w:val="en-US" w:eastAsia="en-US"/>
    </w:rPr>
  </w:style>
  <w:style w:type="paragraph" w:styleId="NoSpacing">
    <w:name w:val="No Spacing"/>
    <w:link w:val="NoSpacingChar"/>
    <w:uiPriority w:val="1"/>
    <w:qFormat/>
    <w:rsid w:val="00656901"/>
    <w:pPr>
      <w:spacing w:after="0" w:line="240" w:lineRule="auto"/>
    </w:pPr>
    <w:rPr>
      <w:rFonts w:eastAsiaTheme="minorEastAsia"/>
    </w:rPr>
  </w:style>
  <w:style w:type="character" w:customStyle="1" w:styleId="NoSpacingChar">
    <w:name w:val="No Spacing Char"/>
    <w:basedOn w:val="DefaultParagraphFont"/>
    <w:link w:val="NoSpacing"/>
    <w:uiPriority w:val="1"/>
    <w:rsid w:val="00656901"/>
    <w:rPr>
      <w:rFonts w:eastAsiaTheme="minorEastAsia"/>
    </w:rPr>
  </w:style>
  <w:style w:type="character" w:styleId="CommentReference">
    <w:name w:val="annotation reference"/>
    <w:basedOn w:val="DefaultParagraphFont"/>
    <w:uiPriority w:val="99"/>
    <w:semiHidden/>
    <w:unhideWhenUsed/>
    <w:rsid w:val="004E4AF3"/>
    <w:rPr>
      <w:sz w:val="16"/>
      <w:szCs w:val="16"/>
    </w:rPr>
  </w:style>
  <w:style w:type="paragraph" w:styleId="CommentText">
    <w:name w:val="annotation text"/>
    <w:basedOn w:val="Normal"/>
    <w:link w:val="CommentTextChar"/>
    <w:uiPriority w:val="99"/>
    <w:unhideWhenUsed/>
    <w:rsid w:val="004E4AF3"/>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4E4AF3"/>
    <w:rPr>
      <w:kern w:val="2"/>
      <w:sz w:val="20"/>
      <w:szCs w:val="20"/>
      <w14:ligatures w14:val="standardContextual"/>
    </w:rPr>
  </w:style>
  <w:style w:type="paragraph" w:styleId="BalloonText">
    <w:name w:val="Balloon Text"/>
    <w:basedOn w:val="Normal"/>
    <w:link w:val="BalloonTextChar"/>
    <w:uiPriority w:val="99"/>
    <w:semiHidden/>
    <w:unhideWhenUsed/>
    <w:rsid w:val="004E4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F3"/>
    <w:rPr>
      <w:rFonts w:ascii="Segoe UI" w:eastAsia="Times New Roman" w:hAnsi="Segoe UI" w:cs="Segoe UI"/>
      <w:sz w:val="18"/>
      <w:szCs w:val="18"/>
      <w:lang w:val="el-GR" w:eastAsia="el-GR"/>
    </w:rPr>
  </w:style>
  <w:style w:type="character" w:customStyle="1" w:styleId="citation-53">
    <w:name w:val="citation-53"/>
    <w:basedOn w:val="DefaultParagraphFont"/>
    <w:rsid w:val="004640EB"/>
  </w:style>
  <w:style w:type="character" w:customStyle="1" w:styleId="citation-52">
    <w:name w:val="citation-52"/>
    <w:basedOn w:val="DefaultParagraphFont"/>
    <w:rsid w:val="004640EB"/>
  </w:style>
  <w:style w:type="character" w:customStyle="1" w:styleId="citation-51">
    <w:name w:val="citation-51"/>
    <w:basedOn w:val="DefaultParagraphFont"/>
    <w:rsid w:val="004640EB"/>
  </w:style>
  <w:style w:type="character" w:customStyle="1" w:styleId="citation-50">
    <w:name w:val="citation-50"/>
    <w:basedOn w:val="DefaultParagraphFont"/>
    <w:rsid w:val="004640EB"/>
  </w:style>
  <w:style w:type="character" w:customStyle="1" w:styleId="citation-49">
    <w:name w:val="citation-49"/>
    <w:basedOn w:val="DefaultParagraphFont"/>
    <w:rsid w:val="004640EB"/>
  </w:style>
  <w:style w:type="character" w:customStyle="1" w:styleId="citation-48">
    <w:name w:val="citation-48"/>
    <w:basedOn w:val="DefaultParagraphFont"/>
    <w:rsid w:val="004640EB"/>
  </w:style>
  <w:style w:type="character" w:customStyle="1" w:styleId="citation-47">
    <w:name w:val="citation-47"/>
    <w:basedOn w:val="DefaultParagraphFont"/>
    <w:rsid w:val="004640EB"/>
  </w:style>
  <w:style w:type="character" w:customStyle="1" w:styleId="citation-46">
    <w:name w:val="citation-46"/>
    <w:basedOn w:val="DefaultParagraphFont"/>
    <w:rsid w:val="004640EB"/>
  </w:style>
  <w:style w:type="character" w:customStyle="1" w:styleId="citation-45">
    <w:name w:val="citation-45"/>
    <w:basedOn w:val="DefaultParagraphFont"/>
    <w:rsid w:val="004640EB"/>
  </w:style>
  <w:style w:type="character" w:customStyle="1" w:styleId="citation-44">
    <w:name w:val="citation-44"/>
    <w:basedOn w:val="DefaultParagraphFont"/>
    <w:rsid w:val="004640EB"/>
  </w:style>
  <w:style w:type="character" w:customStyle="1" w:styleId="citation-43">
    <w:name w:val="citation-43"/>
    <w:basedOn w:val="DefaultParagraphFont"/>
    <w:rsid w:val="004640EB"/>
  </w:style>
  <w:style w:type="character" w:customStyle="1" w:styleId="citation-42">
    <w:name w:val="citation-42"/>
    <w:basedOn w:val="DefaultParagraphFont"/>
    <w:rsid w:val="004640EB"/>
  </w:style>
  <w:style w:type="character" w:customStyle="1" w:styleId="citation-41">
    <w:name w:val="citation-41"/>
    <w:basedOn w:val="DefaultParagraphFont"/>
    <w:rsid w:val="004640EB"/>
  </w:style>
  <w:style w:type="character" w:customStyle="1" w:styleId="citation-40">
    <w:name w:val="citation-40"/>
    <w:basedOn w:val="DefaultParagraphFont"/>
    <w:rsid w:val="004640EB"/>
  </w:style>
  <w:style w:type="character" w:customStyle="1" w:styleId="citation-39">
    <w:name w:val="citation-39"/>
    <w:basedOn w:val="DefaultParagraphFont"/>
    <w:rsid w:val="004640EB"/>
  </w:style>
  <w:style w:type="character" w:customStyle="1" w:styleId="citation-38">
    <w:name w:val="citation-38"/>
    <w:basedOn w:val="DefaultParagraphFont"/>
    <w:rsid w:val="004640EB"/>
  </w:style>
  <w:style w:type="character" w:customStyle="1" w:styleId="citation-37">
    <w:name w:val="citation-37"/>
    <w:basedOn w:val="DefaultParagraphFont"/>
    <w:rsid w:val="004640EB"/>
  </w:style>
  <w:style w:type="character" w:customStyle="1" w:styleId="citation-36">
    <w:name w:val="citation-36"/>
    <w:basedOn w:val="DefaultParagraphFont"/>
    <w:rsid w:val="004640EB"/>
  </w:style>
  <w:style w:type="character" w:styleId="Emphasis">
    <w:name w:val="Emphasis"/>
    <w:basedOn w:val="DefaultParagraphFont"/>
    <w:uiPriority w:val="20"/>
    <w:qFormat/>
    <w:rsid w:val="00CB5A0D"/>
    <w:rPr>
      <w:i/>
      <w:iCs/>
    </w:rPr>
  </w:style>
  <w:style w:type="character" w:customStyle="1" w:styleId="zmsearchresult">
    <w:name w:val="zmsearchresult"/>
    <w:basedOn w:val="DefaultParagraphFont"/>
    <w:rsid w:val="00FB2D33"/>
  </w:style>
  <w:style w:type="paragraph" w:customStyle="1" w:styleId="aisummarybullet1b2m2">
    <w:name w:val="aisummary_bullet_1b2m2"/>
    <w:basedOn w:val="Normal"/>
    <w:rsid w:val="00663AEC"/>
    <w:pPr>
      <w:spacing w:before="100" w:beforeAutospacing="1" w:after="100" w:afterAutospacing="1"/>
    </w:pPr>
    <w:rPr>
      <w:lang w:val="en-US" w:eastAsia="en-US"/>
    </w:rPr>
  </w:style>
  <w:style w:type="paragraph" w:customStyle="1" w:styleId="bnparagraphparagraph1b2m2">
    <w:name w:val="bnparagraph_paragraph_1b2m2"/>
    <w:basedOn w:val="Normal"/>
    <w:rsid w:val="00663AEC"/>
    <w:pPr>
      <w:spacing w:before="100" w:beforeAutospacing="1" w:after="100" w:afterAutospacing="1"/>
    </w:pPr>
    <w:rPr>
      <w:lang w:val="en-US" w:eastAsia="en-US"/>
    </w:rPr>
  </w:style>
  <w:style w:type="paragraph" w:customStyle="1" w:styleId="css-ac37hb">
    <w:name w:val="css-ac37hb"/>
    <w:basedOn w:val="Normal"/>
    <w:rsid w:val="005D5463"/>
    <w:pPr>
      <w:spacing w:before="100" w:beforeAutospacing="1" w:after="100" w:afterAutospacing="1"/>
    </w:pPr>
    <w:rPr>
      <w:lang w:val="en-US" w:eastAsia="en-US"/>
    </w:rPr>
  </w:style>
  <w:style w:type="character" w:customStyle="1" w:styleId="math-inline">
    <w:name w:val="math-inline"/>
    <w:basedOn w:val="DefaultParagraphFont"/>
    <w:rsid w:val="006E2A25"/>
  </w:style>
  <w:style w:type="character" w:customStyle="1" w:styleId="vkekvd">
    <w:name w:val="vkekvd"/>
    <w:basedOn w:val="DefaultParagraphFont"/>
    <w:rsid w:val="004F6BCD"/>
  </w:style>
  <w:style w:type="character" w:customStyle="1" w:styleId="t286pc">
    <w:name w:val="t286pc"/>
    <w:basedOn w:val="DefaultParagraphFont"/>
    <w:rsid w:val="004F6BCD"/>
  </w:style>
  <w:style w:type="paragraph" w:customStyle="1" w:styleId="ng-star-inserted">
    <w:name w:val="ng-star-inserted"/>
    <w:basedOn w:val="Normal"/>
    <w:rsid w:val="00243E10"/>
    <w:pPr>
      <w:spacing w:before="100" w:beforeAutospacing="1" w:after="100" w:afterAutospacing="1"/>
    </w:pPr>
    <w:rPr>
      <w:lang w:val="en-US" w:eastAsia="en-US"/>
    </w:rPr>
  </w:style>
  <w:style w:type="character" w:customStyle="1" w:styleId="citation-0">
    <w:name w:val="citation-0"/>
    <w:basedOn w:val="DefaultParagraphFont"/>
    <w:rsid w:val="00243E10"/>
  </w:style>
  <w:style w:type="character" w:customStyle="1" w:styleId="button-container">
    <w:name w:val="button-container"/>
    <w:basedOn w:val="DefaultParagraphFont"/>
    <w:rsid w:val="00243E10"/>
  </w:style>
  <w:style w:type="character" w:customStyle="1" w:styleId="citation-1">
    <w:name w:val="citation-1"/>
    <w:basedOn w:val="DefaultParagraphFont"/>
    <w:rsid w:val="00243E10"/>
  </w:style>
  <w:style w:type="character" w:customStyle="1" w:styleId="citation-2">
    <w:name w:val="citation-2"/>
    <w:basedOn w:val="DefaultParagraphFont"/>
    <w:rsid w:val="00243E10"/>
  </w:style>
  <w:style w:type="character" w:customStyle="1" w:styleId="citation-3">
    <w:name w:val="citation-3"/>
    <w:basedOn w:val="DefaultParagraphFont"/>
    <w:rsid w:val="0024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8841">
      <w:bodyDiv w:val="1"/>
      <w:marLeft w:val="0"/>
      <w:marRight w:val="0"/>
      <w:marTop w:val="0"/>
      <w:marBottom w:val="0"/>
      <w:divBdr>
        <w:top w:val="none" w:sz="0" w:space="0" w:color="auto"/>
        <w:left w:val="none" w:sz="0" w:space="0" w:color="auto"/>
        <w:bottom w:val="none" w:sz="0" w:space="0" w:color="auto"/>
        <w:right w:val="none" w:sz="0" w:space="0" w:color="auto"/>
      </w:divBdr>
      <w:divsChild>
        <w:div w:id="1155146369">
          <w:marLeft w:val="0"/>
          <w:marRight w:val="0"/>
          <w:marTop w:val="0"/>
          <w:marBottom w:val="0"/>
          <w:divBdr>
            <w:top w:val="none" w:sz="0" w:space="0" w:color="auto"/>
            <w:left w:val="none" w:sz="0" w:space="0" w:color="auto"/>
            <w:bottom w:val="none" w:sz="0" w:space="0" w:color="auto"/>
            <w:right w:val="none" w:sz="0" w:space="0" w:color="auto"/>
          </w:divBdr>
        </w:div>
        <w:div w:id="1267232154">
          <w:marLeft w:val="0"/>
          <w:marRight w:val="0"/>
          <w:marTop w:val="0"/>
          <w:marBottom w:val="0"/>
          <w:divBdr>
            <w:top w:val="none" w:sz="0" w:space="0" w:color="auto"/>
            <w:left w:val="none" w:sz="0" w:space="0" w:color="auto"/>
            <w:bottom w:val="none" w:sz="0" w:space="0" w:color="auto"/>
            <w:right w:val="none" w:sz="0" w:space="0" w:color="auto"/>
          </w:divBdr>
        </w:div>
        <w:div w:id="1719280097">
          <w:marLeft w:val="0"/>
          <w:marRight w:val="0"/>
          <w:marTop w:val="0"/>
          <w:marBottom w:val="0"/>
          <w:divBdr>
            <w:top w:val="none" w:sz="0" w:space="0" w:color="auto"/>
            <w:left w:val="none" w:sz="0" w:space="0" w:color="auto"/>
            <w:bottom w:val="none" w:sz="0" w:space="0" w:color="auto"/>
            <w:right w:val="none" w:sz="0" w:space="0" w:color="auto"/>
          </w:divBdr>
        </w:div>
        <w:div w:id="1492598446">
          <w:marLeft w:val="0"/>
          <w:marRight w:val="0"/>
          <w:marTop w:val="0"/>
          <w:marBottom w:val="0"/>
          <w:divBdr>
            <w:top w:val="none" w:sz="0" w:space="0" w:color="auto"/>
            <w:left w:val="none" w:sz="0" w:space="0" w:color="auto"/>
            <w:bottom w:val="none" w:sz="0" w:space="0" w:color="auto"/>
            <w:right w:val="none" w:sz="0" w:space="0" w:color="auto"/>
          </w:divBdr>
        </w:div>
        <w:div w:id="1089036699">
          <w:marLeft w:val="0"/>
          <w:marRight w:val="0"/>
          <w:marTop w:val="0"/>
          <w:marBottom w:val="0"/>
          <w:divBdr>
            <w:top w:val="none" w:sz="0" w:space="0" w:color="auto"/>
            <w:left w:val="none" w:sz="0" w:space="0" w:color="auto"/>
            <w:bottom w:val="none" w:sz="0" w:space="0" w:color="auto"/>
            <w:right w:val="none" w:sz="0" w:space="0" w:color="auto"/>
          </w:divBdr>
        </w:div>
        <w:div w:id="442695774">
          <w:marLeft w:val="0"/>
          <w:marRight w:val="0"/>
          <w:marTop w:val="0"/>
          <w:marBottom w:val="0"/>
          <w:divBdr>
            <w:top w:val="none" w:sz="0" w:space="0" w:color="auto"/>
            <w:left w:val="none" w:sz="0" w:space="0" w:color="auto"/>
            <w:bottom w:val="none" w:sz="0" w:space="0" w:color="auto"/>
            <w:right w:val="none" w:sz="0" w:space="0" w:color="auto"/>
          </w:divBdr>
        </w:div>
        <w:div w:id="662583287">
          <w:marLeft w:val="0"/>
          <w:marRight w:val="0"/>
          <w:marTop w:val="0"/>
          <w:marBottom w:val="0"/>
          <w:divBdr>
            <w:top w:val="none" w:sz="0" w:space="0" w:color="auto"/>
            <w:left w:val="none" w:sz="0" w:space="0" w:color="auto"/>
            <w:bottom w:val="none" w:sz="0" w:space="0" w:color="auto"/>
            <w:right w:val="none" w:sz="0" w:space="0" w:color="auto"/>
          </w:divBdr>
        </w:div>
        <w:div w:id="503325750">
          <w:marLeft w:val="0"/>
          <w:marRight w:val="0"/>
          <w:marTop w:val="0"/>
          <w:marBottom w:val="0"/>
          <w:divBdr>
            <w:top w:val="none" w:sz="0" w:space="0" w:color="auto"/>
            <w:left w:val="none" w:sz="0" w:space="0" w:color="auto"/>
            <w:bottom w:val="none" w:sz="0" w:space="0" w:color="auto"/>
            <w:right w:val="none" w:sz="0" w:space="0" w:color="auto"/>
          </w:divBdr>
        </w:div>
        <w:div w:id="1076827380">
          <w:marLeft w:val="0"/>
          <w:marRight w:val="0"/>
          <w:marTop w:val="0"/>
          <w:marBottom w:val="0"/>
          <w:divBdr>
            <w:top w:val="none" w:sz="0" w:space="0" w:color="auto"/>
            <w:left w:val="none" w:sz="0" w:space="0" w:color="auto"/>
            <w:bottom w:val="none" w:sz="0" w:space="0" w:color="auto"/>
            <w:right w:val="none" w:sz="0" w:space="0" w:color="auto"/>
          </w:divBdr>
        </w:div>
        <w:div w:id="1412583857">
          <w:marLeft w:val="0"/>
          <w:marRight w:val="0"/>
          <w:marTop w:val="0"/>
          <w:marBottom w:val="0"/>
          <w:divBdr>
            <w:top w:val="none" w:sz="0" w:space="0" w:color="auto"/>
            <w:left w:val="none" w:sz="0" w:space="0" w:color="auto"/>
            <w:bottom w:val="none" w:sz="0" w:space="0" w:color="auto"/>
            <w:right w:val="none" w:sz="0" w:space="0" w:color="auto"/>
          </w:divBdr>
        </w:div>
        <w:div w:id="181550837">
          <w:marLeft w:val="0"/>
          <w:marRight w:val="0"/>
          <w:marTop w:val="0"/>
          <w:marBottom w:val="0"/>
          <w:divBdr>
            <w:top w:val="none" w:sz="0" w:space="0" w:color="auto"/>
            <w:left w:val="none" w:sz="0" w:space="0" w:color="auto"/>
            <w:bottom w:val="none" w:sz="0" w:space="0" w:color="auto"/>
            <w:right w:val="none" w:sz="0" w:space="0" w:color="auto"/>
          </w:divBdr>
        </w:div>
        <w:div w:id="1223059071">
          <w:marLeft w:val="0"/>
          <w:marRight w:val="0"/>
          <w:marTop w:val="0"/>
          <w:marBottom w:val="0"/>
          <w:divBdr>
            <w:top w:val="none" w:sz="0" w:space="0" w:color="auto"/>
            <w:left w:val="none" w:sz="0" w:space="0" w:color="auto"/>
            <w:bottom w:val="none" w:sz="0" w:space="0" w:color="auto"/>
            <w:right w:val="none" w:sz="0" w:space="0" w:color="auto"/>
          </w:divBdr>
        </w:div>
        <w:div w:id="1066563907">
          <w:marLeft w:val="0"/>
          <w:marRight w:val="0"/>
          <w:marTop w:val="0"/>
          <w:marBottom w:val="0"/>
          <w:divBdr>
            <w:top w:val="none" w:sz="0" w:space="0" w:color="auto"/>
            <w:left w:val="none" w:sz="0" w:space="0" w:color="auto"/>
            <w:bottom w:val="none" w:sz="0" w:space="0" w:color="auto"/>
            <w:right w:val="none" w:sz="0" w:space="0" w:color="auto"/>
          </w:divBdr>
        </w:div>
        <w:div w:id="1051265542">
          <w:marLeft w:val="0"/>
          <w:marRight w:val="0"/>
          <w:marTop w:val="0"/>
          <w:marBottom w:val="0"/>
          <w:divBdr>
            <w:top w:val="none" w:sz="0" w:space="0" w:color="auto"/>
            <w:left w:val="none" w:sz="0" w:space="0" w:color="auto"/>
            <w:bottom w:val="none" w:sz="0" w:space="0" w:color="auto"/>
            <w:right w:val="none" w:sz="0" w:space="0" w:color="auto"/>
          </w:divBdr>
        </w:div>
      </w:divsChild>
    </w:div>
    <w:div w:id="89281248">
      <w:bodyDiv w:val="1"/>
      <w:marLeft w:val="0"/>
      <w:marRight w:val="0"/>
      <w:marTop w:val="0"/>
      <w:marBottom w:val="0"/>
      <w:divBdr>
        <w:top w:val="none" w:sz="0" w:space="0" w:color="auto"/>
        <w:left w:val="none" w:sz="0" w:space="0" w:color="auto"/>
        <w:bottom w:val="none" w:sz="0" w:space="0" w:color="auto"/>
        <w:right w:val="none" w:sz="0" w:space="0" w:color="auto"/>
      </w:divBdr>
    </w:div>
    <w:div w:id="102581830">
      <w:bodyDiv w:val="1"/>
      <w:marLeft w:val="0"/>
      <w:marRight w:val="0"/>
      <w:marTop w:val="0"/>
      <w:marBottom w:val="0"/>
      <w:divBdr>
        <w:top w:val="none" w:sz="0" w:space="0" w:color="auto"/>
        <w:left w:val="none" w:sz="0" w:space="0" w:color="auto"/>
        <w:bottom w:val="none" w:sz="0" w:space="0" w:color="auto"/>
        <w:right w:val="none" w:sz="0" w:space="0" w:color="auto"/>
      </w:divBdr>
    </w:div>
    <w:div w:id="160049977">
      <w:bodyDiv w:val="1"/>
      <w:marLeft w:val="0"/>
      <w:marRight w:val="0"/>
      <w:marTop w:val="0"/>
      <w:marBottom w:val="0"/>
      <w:divBdr>
        <w:top w:val="none" w:sz="0" w:space="0" w:color="auto"/>
        <w:left w:val="none" w:sz="0" w:space="0" w:color="auto"/>
        <w:bottom w:val="none" w:sz="0" w:space="0" w:color="auto"/>
        <w:right w:val="none" w:sz="0" w:space="0" w:color="auto"/>
      </w:divBdr>
    </w:div>
    <w:div w:id="324238874">
      <w:bodyDiv w:val="1"/>
      <w:marLeft w:val="0"/>
      <w:marRight w:val="0"/>
      <w:marTop w:val="0"/>
      <w:marBottom w:val="0"/>
      <w:divBdr>
        <w:top w:val="none" w:sz="0" w:space="0" w:color="auto"/>
        <w:left w:val="none" w:sz="0" w:space="0" w:color="auto"/>
        <w:bottom w:val="none" w:sz="0" w:space="0" w:color="auto"/>
        <w:right w:val="none" w:sz="0" w:space="0" w:color="auto"/>
      </w:divBdr>
      <w:divsChild>
        <w:div w:id="990255033">
          <w:marLeft w:val="0"/>
          <w:marRight w:val="0"/>
          <w:marTop w:val="0"/>
          <w:marBottom w:val="0"/>
          <w:divBdr>
            <w:top w:val="none" w:sz="0" w:space="0" w:color="auto"/>
            <w:left w:val="none" w:sz="0" w:space="0" w:color="auto"/>
            <w:bottom w:val="none" w:sz="0" w:space="0" w:color="auto"/>
            <w:right w:val="none" w:sz="0" w:space="0" w:color="auto"/>
          </w:divBdr>
        </w:div>
      </w:divsChild>
    </w:div>
    <w:div w:id="406731040">
      <w:bodyDiv w:val="1"/>
      <w:marLeft w:val="0"/>
      <w:marRight w:val="0"/>
      <w:marTop w:val="0"/>
      <w:marBottom w:val="0"/>
      <w:divBdr>
        <w:top w:val="none" w:sz="0" w:space="0" w:color="auto"/>
        <w:left w:val="none" w:sz="0" w:space="0" w:color="auto"/>
        <w:bottom w:val="none" w:sz="0" w:space="0" w:color="auto"/>
        <w:right w:val="none" w:sz="0" w:space="0" w:color="auto"/>
      </w:divBdr>
    </w:div>
    <w:div w:id="462961050">
      <w:bodyDiv w:val="1"/>
      <w:marLeft w:val="0"/>
      <w:marRight w:val="0"/>
      <w:marTop w:val="0"/>
      <w:marBottom w:val="0"/>
      <w:divBdr>
        <w:top w:val="none" w:sz="0" w:space="0" w:color="auto"/>
        <w:left w:val="none" w:sz="0" w:space="0" w:color="auto"/>
        <w:bottom w:val="none" w:sz="0" w:space="0" w:color="auto"/>
        <w:right w:val="none" w:sz="0" w:space="0" w:color="auto"/>
      </w:divBdr>
      <w:divsChild>
        <w:div w:id="341590400">
          <w:marLeft w:val="0"/>
          <w:marRight w:val="0"/>
          <w:marTop w:val="120"/>
          <w:marBottom w:val="0"/>
          <w:divBdr>
            <w:top w:val="none" w:sz="0" w:space="0" w:color="auto"/>
            <w:left w:val="none" w:sz="0" w:space="0" w:color="auto"/>
            <w:bottom w:val="none" w:sz="0" w:space="0" w:color="auto"/>
            <w:right w:val="none" w:sz="0" w:space="0" w:color="auto"/>
          </w:divBdr>
        </w:div>
        <w:div w:id="1466387092">
          <w:marLeft w:val="0"/>
          <w:marRight w:val="0"/>
          <w:marTop w:val="0"/>
          <w:marBottom w:val="0"/>
          <w:divBdr>
            <w:top w:val="none" w:sz="0" w:space="0" w:color="auto"/>
            <w:left w:val="none" w:sz="0" w:space="0" w:color="auto"/>
            <w:bottom w:val="none" w:sz="0" w:space="0" w:color="auto"/>
            <w:right w:val="none" w:sz="0" w:space="0" w:color="auto"/>
          </w:divBdr>
        </w:div>
      </w:divsChild>
    </w:div>
    <w:div w:id="497884106">
      <w:bodyDiv w:val="1"/>
      <w:marLeft w:val="0"/>
      <w:marRight w:val="0"/>
      <w:marTop w:val="0"/>
      <w:marBottom w:val="0"/>
      <w:divBdr>
        <w:top w:val="none" w:sz="0" w:space="0" w:color="auto"/>
        <w:left w:val="none" w:sz="0" w:space="0" w:color="auto"/>
        <w:bottom w:val="none" w:sz="0" w:space="0" w:color="auto"/>
        <w:right w:val="none" w:sz="0" w:space="0" w:color="auto"/>
      </w:divBdr>
    </w:div>
    <w:div w:id="573590816">
      <w:bodyDiv w:val="1"/>
      <w:marLeft w:val="0"/>
      <w:marRight w:val="0"/>
      <w:marTop w:val="0"/>
      <w:marBottom w:val="0"/>
      <w:divBdr>
        <w:top w:val="none" w:sz="0" w:space="0" w:color="auto"/>
        <w:left w:val="none" w:sz="0" w:space="0" w:color="auto"/>
        <w:bottom w:val="none" w:sz="0" w:space="0" w:color="auto"/>
        <w:right w:val="none" w:sz="0" w:space="0" w:color="auto"/>
      </w:divBdr>
    </w:div>
    <w:div w:id="657811198">
      <w:bodyDiv w:val="1"/>
      <w:marLeft w:val="0"/>
      <w:marRight w:val="0"/>
      <w:marTop w:val="0"/>
      <w:marBottom w:val="0"/>
      <w:divBdr>
        <w:top w:val="none" w:sz="0" w:space="0" w:color="auto"/>
        <w:left w:val="none" w:sz="0" w:space="0" w:color="auto"/>
        <w:bottom w:val="none" w:sz="0" w:space="0" w:color="auto"/>
        <w:right w:val="none" w:sz="0" w:space="0" w:color="auto"/>
      </w:divBdr>
    </w:div>
    <w:div w:id="774518992">
      <w:bodyDiv w:val="1"/>
      <w:marLeft w:val="0"/>
      <w:marRight w:val="0"/>
      <w:marTop w:val="0"/>
      <w:marBottom w:val="0"/>
      <w:divBdr>
        <w:top w:val="none" w:sz="0" w:space="0" w:color="auto"/>
        <w:left w:val="none" w:sz="0" w:space="0" w:color="auto"/>
        <w:bottom w:val="none" w:sz="0" w:space="0" w:color="auto"/>
        <w:right w:val="none" w:sz="0" w:space="0" w:color="auto"/>
      </w:divBdr>
      <w:divsChild>
        <w:div w:id="1637756864">
          <w:marLeft w:val="0"/>
          <w:marRight w:val="0"/>
          <w:marTop w:val="0"/>
          <w:marBottom w:val="0"/>
          <w:divBdr>
            <w:top w:val="none" w:sz="0" w:space="0" w:color="auto"/>
            <w:left w:val="none" w:sz="0" w:space="0" w:color="auto"/>
            <w:bottom w:val="none" w:sz="0" w:space="0" w:color="auto"/>
            <w:right w:val="none" w:sz="0" w:space="0" w:color="auto"/>
          </w:divBdr>
        </w:div>
        <w:div w:id="1057512595">
          <w:marLeft w:val="0"/>
          <w:marRight w:val="0"/>
          <w:marTop w:val="0"/>
          <w:marBottom w:val="0"/>
          <w:divBdr>
            <w:top w:val="none" w:sz="0" w:space="0" w:color="auto"/>
            <w:left w:val="none" w:sz="0" w:space="0" w:color="auto"/>
            <w:bottom w:val="none" w:sz="0" w:space="0" w:color="auto"/>
            <w:right w:val="none" w:sz="0" w:space="0" w:color="auto"/>
          </w:divBdr>
          <w:divsChild>
            <w:div w:id="2000495032">
              <w:marLeft w:val="0"/>
              <w:marRight w:val="0"/>
              <w:marTop w:val="0"/>
              <w:marBottom w:val="0"/>
              <w:divBdr>
                <w:top w:val="none" w:sz="0" w:space="0" w:color="auto"/>
                <w:left w:val="none" w:sz="0" w:space="0" w:color="auto"/>
                <w:bottom w:val="none" w:sz="0" w:space="0" w:color="auto"/>
                <w:right w:val="none" w:sz="0" w:space="0" w:color="auto"/>
              </w:divBdr>
            </w:div>
            <w:div w:id="371810960">
              <w:marLeft w:val="0"/>
              <w:marRight w:val="0"/>
              <w:marTop w:val="0"/>
              <w:marBottom w:val="0"/>
              <w:divBdr>
                <w:top w:val="none" w:sz="0" w:space="0" w:color="auto"/>
                <w:left w:val="none" w:sz="0" w:space="0" w:color="auto"/>
                <w:bottom w:val="none" w:sz="0" w:space="0" w:color="auto"/>
                <w:right w:val="none" w:sz="0" w:space="0" w:color="auto"/>
              </w:divBdr>
            </w:div>
            <w:div w:id="1583828886">
              <w:marLeft w:val="0"/>
              <w:marRight w:val="0"/>
              <w:marTop w:val="0"/>
              <w:marBottom w:val="0"/>
              <w:divBdr>
                <w:top w:val="none" w:sz="0" w:space="0" w:color="auto"/>
                <w:left w:val="none" w:sz="0" w:space="0" w:color="auto"/>
                <w:bottom w:val="none" w:sz="0" w:space="0" w:color="auto"/>
                <w:right w:val="none" w:sz="0" w:space="0" w:color="auto"/>
              </w:divBdr>
            </w:div>
          </w:divsChild>
        </w:div>
        <w:div w:id="492182618">
          <w:marLeft w:val="0"/>
          <w:marRight w:val="0"/>
          <w:marTop w:val="0"/>
          <w:marBottom w:val="0"/>
          <w:divBdr>
            <w:top w:val="none" w:sz="0" w:space="0" w:color="auto"/>
            <w:left w:val="none" w:sz="0" w:space="0" w:color="auto"/>
            <w:bottom w:val="none" w:sz="0" w:space="0" w:color="auto"/>
            <w:right w:val="none" w:sz="0" w:space="0" w:color="auto"/>
          </w:divBdr>
          <w:divsChild>
            <w:div w:id="1400710027">
              <w:marLeft w:val="0"/>
              <w:marRight w:val="0"/>
              <w:marTop w:val="0"/>
              <w:marBottom w:val="0"/>
              <w:divBdr>
                <w:top w:val="none" w:sz="0" w:space="0" w:color="auto"/>
                <w:left w:val="none" w:sz="0" w:space="0" w:color="auto"/>
                <w:bottom w:val="none" w:sz="0" w:space="0" w:color="auto"/>
                <w:right w:val="none" w:sz="0" w:space="0" w:color="auto"/>
              </w:divBdr>
              <w:divsChild>
                <w:div w:id="1942446371">
                  <w:marLeft w:val="0"/>
                  <w:marRight w:val="0"/>
                  <w:marTop w:val="0"/>
                  <w:marBottom w:val="0"/>
                  <w:divBdr>
                    <w:top w:val="none" w:sz="0" w:space="0" w:color="auto"/>
                    <w:left w:val="none" w:sz="0" w:space="0" w:color="auto"/>
                    <w:bottom w:val="none" w:sz="0" w:space="0" w:color="auto"/>
                    <w:right w:val="none" w:sz="0" w:space="0" w:color="auto"/>
                  </w:divBdr>
                  <w:divsChild>
                    <w:div w:id="209728368">
                      <w:marLeft w:val="0"/>
                      <w:marRight w:val="0"/>
                      <w:marTop w:val="0"/>
                      <w:marBottom w:val="0"/>
                      <w:divBdr>
                        <w:top w:val="none" w:sz="0" w:space="0" w:color="auto"/>
                        <w:left w:val="none" w:sz="0" w:space="0" w:color="auto"/>
                        <w:bottom w:val="none" w:sz="0" w:space="0" w:color="auto"/>
                        <w:right w:val="none" w:sz="0" w:space="0" w:color="auto"/>
                      </w:divBdr>
                    </w:div>
                  </w:divsChild>
                </w:div>
                <w:div w:id="4351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5215">
      <w:bodyDiv w:val="1"/>
      <w:marLeft w:val="0"/>
      <w:marRight w:val="0"/>
      <w:marTop w:val="0"/>
      <w:marBottom w:val="0"/>
      <w:divBdr>
        <w:top w:val="none" w:sz="0" w:space="0" w:color="auto"/>
        <w:left w:val="none" w:sz="0" w:space="0" w:color="auto"/>
        <w:bottom w:val="none" w:sz="0" w:space="0" w:color="auto"/>
        <w:right w:val="none" w:sz="0" w:space="0" w:color="auto"/>
      </w:divBdr>
      <w:divsChild>
        <w:div w:id="2081172157">
          <w:marLeft w:val="0"/>
          <w:marRight w:val="0"/>
          <w:marTop w:val="0"/>
          <w:marBottom w:val="180"/>
          <w:divBdr>
            <w:top w:val="none" w:sz="0" w:space="0" w:color="auto"/>
            <w:left w:val="none" w:sz="0" w:space="0" w:color="auto"/>
            <w:bottom w:val="none" w:sz="0" w:space="0" w:color="auto"/>
            <w:right w:val="none" w:sz="0" w:space="0" w:color="auto"/>
          </w:divBdr>
        </w:div>
        <w:div w:id="1014845231">
          <w:marLeft w:val="0"/>
          <w:marRight w:val="0"/>
          <w:marTop w:val="0"/>
          <w:marBottom w:val="180"/>
          <w:divBdr>
            <w:top w:val="none" w:sz="0" w:space="0" w:color="auto"/>
            <w:left w:val="none" w:sz="0" w:space="0" w:color="auto"/>
            <w:bottom w:val="none" w:sz="0" w:space="0" w:color="auto"/>
            <w:right w:val="none" w:sz="0" w:space="0" w:color="auto"/>
          </w:divBdr>
        </w:div>
        <w:div w:id="1411586281">
          <w:marLeft w:val="0"/>
          <w:marRight w:val="0"/>
          <w:marTop w:val="0"/>
          <w:marBottom w:val="180"/>
          <w:divBdr>
            <w:top w:val="none" w:sz="0" w:space="0" w:color="auto"/>
            <w:left w:val="none" w:sz="0" w:space="0" w:color="auto"/>
            <w:bottom w:val="none" w:sz="0" w:space="0" w:color="auto"/>
            <w:right w:val="none" w:sz="0" w:space="0" w:color="auto"/>
          </w:divBdr>
        </w:div>
      </w:divsChild>
    </w:div>
    <w:div w:id="929969253">
      <w:bodyDiv w:val="1"/>
      <w:marLeft w:val="0"/>
      <w:marRight w:val="0"/>
      <w:marTop w:val="0"/>
      <w:marBottom w:val="0"/>
      <w:divBdr>
        <w:top w:val="none" w:sz="0" w:space="0" w:color="auto"/>
        <w:left w:val="none" w:sz="0" w:space="0" w:color="auto"/>
        <w:bottom w:val="none" w:sz="0" w:space="0" w:color="auto"/>
        <w:right w:val="none" w:sz="0" w:space="0" w:color="auto"/>
      </w:divBdr>
      <w:divsChild>
        <w:div w:id="2107067417">
          <w:marLeft w:val="0"/>
          <w:marRight w:val="0"/>
          <w:marTop w:val="450"/>
          <w:marBottom w:val="240"/>
          <w:divBdr>
            <w:top w:val="none" w:sz="0" w:space="0" w:color="auto"/>
            <w:left w:val="none" w:sz="0" w:space="0" w:color="auto"/>
            <w:bottom w:val="none" w:sz="0" w:space="0" w:color="auto"/>
            <w:right w:val="none" w:sz="0" w:space="0" w:color="auto"/>
          </w:divBdr>
        </w:div>
      </w:divsChild>
    </w:div>
    <w:div w:id="937328212">
      <w:bodyDiv w:val="1"/>
      <w:marLeft w:val="0"/>
      <w:marRight w:val="0"/>
      <w:marTop w:val="0"/>
      <w:marBottom w:val="0"/>
      <w:divBdr>
        <w:top w:val="none" w:sz="0" w:space="0" w:color="auto"/>
        <w:left w:val="none" w:sz="0" w:space="0" w:color="auto"/>
        <w:bottom w:val="none" w:sz="0" w:space="0" w:color="auto"/>
        <w:right w:val="none" w:sz="0" w:space="0" w:color="auto"/>
      </w:divBdr>
    </w:div>
    <w:div w:id="1089498345">
      <w:bodyDiv w:val="1"/>
      <w:marLeft w:val="0"/>
      <w:marRight w:val="0"/>
      <w:marTop w:val="0"/>
      <w:marBottom w:val="0"/>
      <w:divBdr>
        <w:top w:val="none" w:sz="0" w:space="0" w:color="auto"/>
        <w:left w:val="none" w:sz="0" w:space="0" w:color="auto"/>
        <w:bottom w:val="none" w:sz="0" w:space="0" w:color="auto"/>
        <w:right w:val="none" w:sz="0" w:space="0" w:color="auto"/>
      </w:divBdr>
    </w:div>
    <w:div w:id="1231036642">
      <w:bodyDiv w:val="1"/>
      <w:marLeft w:val="0"/>
      <w:marRight w:val="0"/>
      <w:marTop w:val="0"/>
      <w:marBottom w:val="0"/>
      <w:divBdr>
        <w:top w:val="none" w:sz="0" w:space="0" w:color="auto"/>
        <w:left w:val="none" w:sz="0" w:space="0" w:color="auto"/>
        <w:bottom w:val="none" w:sz="0" w:space="0" w:color="auto"/>
        <w:right w:val="none" w:sz="0" w:space="0" w:color="auto"/>
      </w:divBdr>
      <w:divsChild>
        <w:div w:id="1658418537">
          <w:marLeft w:val="0"/>
          <w:marRight w:val="0"/>
          <w:marTop w:val="0"/>
          <w:marBottom w:val="0"/>
          <w:divBdr>
            <w:top w:val="none" w:sz="0" w:space="0" w:color="auto"/>
            <w:left w:val="none" w:sz="0" w:space="0" w:color="auto"/>
            <w:bottom w:val="none" w:sz="0" w:space="0" w:color="auto"/>
            <w:right w:val="none" w:sz="0" w:space="0" w:color="auto"/>
          </w:divBdr>
          <w:divsChild>
            <w:div w:id="1437216093">
              <w:marLeft w:val="0"/>
              <w:marRight w:val="0"/>
              <w:marTop w:val="0"/>
              <w:marBottom w:val="0"/>
              <w:divBdr>
                <w:top w:val="none" w:sz="0" w:space="0" w:color="auto"/>
                <w:left w:val="none" w:sz="0" w:space="0" w:color="auto"/>
                <w:bottom w:val="none" w:sz="0" w:space="0" w:color="auto"/>
                <w:right w:val="none" w:sz="0" w:space="0" w:color="auto"/>
              </w:divBdr>
              <w:divsChild>
                <w:div w:id="1410153886">
                  <w:marLeft w:val="0"/>
                  <w:marRight w:val="0"/>
                  <w:marTop w:val="0"/>
                  <w:marBottom w:val="0"/>
                  <w:divBdr>
                    <w:top w:val="none" w:sz="0" w:space="0" w:color="auto"/>
                    <w:left w:val="none" w:sz="0" w:space="0" w:color="auto"/>
                    <w:bottom w:val="none" w:sz="0" w:space="0" w:color="auto"/>
                    <w:right w:val="none" w:sz="0" w:space="0" w:color="auto"/>
                  </w:divBdr>
                  <w:divsChild>
                    <w:div w:id="1875650265">
                      <w:marLeft w:val="0"/>
                      <w:marRight w:val="0"/>
                      <w:marTop w:val="0"/>
                      <w:marBottom w:val="0"/>
                      <w:divBdr>
                        <w:top w:val="none" w:sz="0" w:space="0" w:color="auto"/>
                        <w:left w:val="none" w:sz="0" w:space="0" w:color="auto"/>
                        <w:bottom w:val="none" w:sz="0" w:space="0" w:color="auto"/>
                        <w:right w:val="none" w:sz="0" w:space="0" w:color="auto"/>
                      </w:divBdr>
                      <w:divsChild>
                        <w:div w:id="1951543712">
                          <w:marLeft w:val="0"/>
                          <w:marRight w:val="0"/>
                          <w:marTop w:val="0"/>
                          <w:marBottom w:val="0"/>
                          <w:divBdr>
                            <w:top w:val="none" w:sz="0" w:space="0" w:color="auto"/>
                            <w:left w:val="none" w:sz="0" w:space="0" w:color="auto"/>
                            <w:bottom w:val="none" w:sz="0" w:space="0" w:color="auto"/>
                            <w:right w:val="none" w:sz="0" w:space="0" w:color="auto"/>
                          </w:divBdr>
                          <w:divsChild>
                            <w:div w:id="21463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6452">
                  <w:marLeft w:val="0"/>
                  <w:marRight w:val="0"/>
                  <w:marTop w:val="0"/>
                  <w:marBottom w:val="0"/>
                  <w:divBdr>
                    <w:top w:val="none" w:sz="0" w:space="0" w:color="auto"/>
                    <w:left w:val="none" w:sz="0" w:space="0" w:color="auto"/>
                    <w:bottom w:val="none" w:sz="0" w:space="0" w:color="auto"/>
                    <w:right w:val="none" w:sz="0" w:space="0" w:color="auto"/>
                  </w:divBdr>
                  <w:divsChild>
                    <w:div w:id="1256864607">
                      <w:marLeft w:val="0"/>
                      <w:marRight w:val="0"/>
                      <w:marTop w:val="0"/>
                      <w:marBottom w:val="0"/>
                      <w:divBdr>
                        <w:top w:val="none" w:sz="0" w:space="0" w:color="auto"/>
                        <w:left w:val="none" w:sz="0" w:space="0" w:color="auto"/>
                        <w:bottom w:val="none" w:sz="0" w:space="0" w:color="auto"/>
                        <w:right w:val="none" w:sz="0" w:space="0" w:color="auto"/>
                      </w:divBdr>
                      <w:divsChild>
                        <w:div w:id="1873837413">
                          <w:marLeft w:val="0"/>
                          <w:marRight w:val="0"/>
                          <w:marTop w:val="0"/>
                          <w:marBottom w:val="0"/>
                          <w:divBdr>
                            <w:top w:val="none" w:sz="0" w:space="0" w:color="auto"/>
                            <w:left w:val="none" w:sz="0" w:space="0" w:color="auto"/>
                            <w:bottom w:val="none" w:sz="0" w:space="0" w:color="auto"/>
                            <w:right w:val="none" w:sz="0" w:space="0" w:color="auto"/>
                          </w:divBdr>
                          <w:divsChild>
                            <w:div w:id="560869556">
                              <w:marLeft w:val="0"/>
                              <w:marRight w:val="0"/>
                              <w:marTop w:val="0"/>
                              <w:marBottom w:val="0"/>
                              <w:divBdr>
                                <w:top w:val="none" w:sz="0" w:space="0" w:color="auto"/>
                                <w:left w:val="none" w:sz="0" w:space="0" w:color="auto"/>
                                <w:bottom w:val="none" w:sz="0" w:space="0" w:color="auto"/>
                                <w:right w:val="none" w:sz="0" w:space="0" w:color="auto"/>
                              </w:divBdr>
                              <w:divsChild>
                                <w:div w:id="650401832">
                                  <w:marLeft w:val="0"/>
                                  <w:marRight w:val="0"/>
                                  <w:marTop w:val="0"/>
                                  <w:marBottom w:val="0"/>
                                  <w:divBdr>
                                    <w:top w:val="none" w:sz="0" w:space="0" w:color="auto"/>
                                    <w:left w:val="none" w:sz="0" w:space="0" w:color="auto"/>
                                    <w:bottom w:val="none" w:sz="0" w:space="0" w:color="auto"/>
                                    <w:right w:val="none" w:sz="0" w:space="0" w:color="auto"/>
                                  </w:divBdr>
                                  <w:divsChild>
                                    <w:div w:id="776221247">
                                      <w:marLeft w:val="0"/>
                                      <w:marRight w:val="0"/>
                                      <w:marTop w:val="0"/>
                                      <w:marBottom w:val="0"/>
                                      <w:divBdr>
                                        <w:top w:val="none" w:sz="0" w:space="0" w:color="auto"/>
                                        <w:left w:val="none" w:sz="0" w:space="0" w:color="auto"/>
                                        <w:bottom w:val="none" w:sz="0" w:space="0" w:color="auto"/>
                                        <w:right w:val="none" w:sz="0" w:space="0" w:color="auto"/>
                                      </w:divBdr>
                                      <w:divsChild>
                                        <w:div w:id="19549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362327">
          <w:marLeft w:val="0"/>
          <w:marRight w:val="0"/>
          <w:marTop w:val="0"/>
          <w:marBottom w:val="0"/>
          <w:divBdr>
            <w:top w:val="none" w:sz="0" w:space="0" w:color="auto"/>
            <w:left w:val="none" w:sz="0" w:space="0" w:color="auto"/>
            <w:bottom w:val="none" w:sz="0" w:space="0" w:color="auto"/>
            <w:right w:val="none" w:sz="0" w:space="0" w:color="auto"/>
          </w:divBdr>
          <w:divsChild>
            <w:div w:id="638727545">
              <w:marLeft w:val="120"/>
              <w:marRight w:val="120"/>
              <w:marTop w:val="0"/>
              <w:marBottom w:val="120"/>
              <w:divBdr>
                <w:top w:val="none" w:sz="0" w:space="0" w:color="auto"/>
                <w:left w:val="none" w:sz="0" w:space="0" w:color="auto"/>
                <w:bottom w:val="none" w:sz="0" w:space="0" w:color="auto"/>
                <w:right w:val="none" w:sz="0" w:space="0" w:color="auto"/>
              </w:divBdr>
              <w:divsChild>
                <w:div w:id="599148233">
                  <w:marLeft w:val="0"/>
                  <w:marRight w:val="0"/>
                  <w:marTop w:val="0"/>
                  <w:marBottom w:val="0"/>
                  <w:divBdr>
                    <w:top w:val="none" w:sz="0" w:space="0" w:color="auto"/>
                    <w:left w:val="none" w:sz="0" w:space="0" w:color="auto"/>
                    <w:bottom w:val="none" w:sz="0" w:space="0" w:color="auto"/>
                    <w:right w:val="none" w:sz="0" w:space="0" w:color="auto"/>
                  </w:divBdr>
                  <w:divsChild>
                    <w:div w:id="490871514">
                      <w:marLeft w:val="0"/>
                      <w:marRight w:val="0"/>
                      <w:marTop w:val="0"/>
                      <w:marBottom w:val="0"/>
                      <w:divBdr>
                        <w:top w:val="none" w:sz="0" w:space="0" w:color="auto"/>
                        <w:left w:val="none" w:sz="0" w:space="0" w:color="auto"/>
                        <w:bottom w:val="none" w:sz="0" w:space="0" w:color="auto"/>
                        <w:right w:val="none" w:sz="0" w:space="0" w:color="auto"/>
                      </w:divBdr>
                      <w:divsChild>
                        <w:div w:id="16317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169855">
      <w:bodyDiv w:val="1"/>
      <w:marLeft w:val="0"/>
      <w:marRight w:val="0"/>
      <w:marTop w:val="0"/>
      <w:marBottom w:val="0"/>
      <w:divBdr>
        <w:top w:val="none" w:sz="0" w:space="0" w:color="auto"/>
        <w:left w:val="none" w:sz="0" w:space="0" w:color="auto"/>
        <w:bottom w:val="none" w:sz="0" w:space="0" w:color="auto"/>
        <w:right w:val="none" w:sz="0" w:space="0" w:color="auto"/>
      </w:divBdr>
      <w:divsChild>
        <w:div w:id="147864667">
          <w:marLeft w:val="0"/>
          <w:marRight w:val="0"/>
          <w:marTop w:val="0"/>
          <w:marBottom w:val="0"/>
          <w:divBdr>
            <w:top w:val="none" w:sz="0" w:space="0" w:color="auto"/>
            <w:left w:val="none" w:sz="0" w:space="0" w:color="auto"/>
            <w:bottom w:val="none" w:sz="0" w:space="0" w:color="auto"/>
            <w:right w:val="none" w:sz="0" w:space="0" w:color="auto"/>
          </w:divBdr>
          <w:divsChild>
            <w:div w:id="1462068188">
              <w:marLeft w:val="0"/>
              <w:marRight w:val="0"/>
              <w:marTop w:val="0"/>
              <w:marBottom w:val="0"/>
              <w:divBdr>
                <w:top w:val="none" w:sz="0" w:space="0" w:color="auto"/>
                <w:left w:val="none" w:sz="0" w:space="0" w:color="auto"/>
                <w:bottom w:val="none" w:sz="0" w:space="0" w:color="auto"/>
                <w:right w:val="none" w:sz="0" w:space="0" w:color="auto"/>
              </w:divBdr>
            </w:div>
          </w:divsChild>
        </w:div>
        <w:div w:id="827091572">
          <w:marLeft w:val="0"/>
          <w:marRight w:val="0"/>
          <w:marTop w:val="0"/>
          <w:marBottom w:val="0"/>
          <w:divBdr>
            <w:top w:val="none" w:sz="0" w:space="0" w:color="auto"/>
            <w:left w:val="none" w:sz="0" w:space="0" w:color="auto"/>
            <w:bottom w:val="none" w:sz="0" w:space="0" w:color="auto"/>
            <w:right w:val="none" w:sz="0" w:space="0" w:color="auto"/>
          </w:divBdr>
          <w:divsChild>
            <w:div w:id="1885826477">
              <w:marLeft w:val="0"/>
              <w:marRight w:val="0"/>
              <w:marTop w:val="0"/>
              <w:marBottom w:val="0"/>
              <w:divBdr>
                <w:top w:val="single" w:sz="6" w:space="9" w:color="DFDFDF"/>
                <w:left w:val="none" w:sz="0" w:space="0" w:color="auto"/>
                <w:bottom w:val="single" w:sz="6" w:space="23" w:color="DFDFDF"/>
                <w:right w:val="none" w:sz="0" w:space="0" w:color="auto"/>
              </w:divBdr>
              <w:divsChild>
                <w:div w:id="3241692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29994633">
          <w:marLeft w:val="0"/>
          <w:marRight w:val="0"/>
          <w:marTop w:val="0"/>
          <w:marBottom w:val="0"/>
          <w:divBdr>
            <w:top w:val="none" w:sz="0" w:space="0" w:color="auto"/>
            <w:left w:val="none" w:sz="0" w:space="0" w:color="auto"/>
            <w:bottom w:val="none" w:sz="0" w:space="0" w:color="auto"/>
            <w:right w:val="none" w:sz="0" w:space="0" w:color="auto"/>
          </w:divBdr>
          <w:divsChild>
            <w:div w:id="2133476970">
              <w:marLeft w:val="0"/>
              <w:marRight w:val="0"/>
              <w:marTop w:val="0"/>
              <w:marBottom w:val="0"/>
              <w:divBdr>
                <w:top w:val="none" w:sz="0" w:space="0" w:color="auto"/>
                <w:left w:val="none" w:sz="0" w:space="0" w:color="auto"/>
                <w:bottom w:val="none" w:sz="0" w:space="0" w:color="auto"/>
                <w:right w:val="none" w:sz="0" w:space="0" w:color="auto"/>
              </w:divBdr>
            </w:div>
            <w:div w:id="116602751">
              <w:marLeft w:val="0"/>
              <w:marRight w:val="0"/>
              <w:marTop w:val="0"/>
              <w:marBottom w:val="0"/>
              <w:divBdr>
                <w:top w:val="none" w:sz="0" w:space="0" w:color="auto"/>
                <w:left w:val="none" w:sz="0" w:space="0" w:color="auto"/>
                <w:bottom w:val="none" w:sz="0" w:space="0" w:color="auto"/>
                <w:right w:val="none" w:sz="0" w:space="0" w:color="auto"/>
              </w:divBdr>
              <w:divsChild>
                <w:div w:id="911701944">
                  <w:marLeft w:val="0"/>
                  <w:marRight w:val="0"/>
                  <w:marTop w:val="0"/>
                  <w:marBottom w:val="0"/>
                  <w:divBdr>
                    <w:top w:val="none" w:sz="0" w:space="0" w:color="auto"/>
                    <w:left w:val="none" w:sz="0" w:space="0" w:color="auto"/>
                    <w:bottom w:val="none" w:sz="0" w:space="0" w:color="auto"/>
                    <w:right w:val="none" w:sz="0" w:space="0" w:color="auto"/>
                  </w:divBdr>
                </w:div>
                <w:div w:id="949362209">
                  <w:marLeft w:val="0"/>
                  <w:marRight w:val="0"/>
                  <w:marTop w:val="0"/>
                  <w:marBottom w:val="0"/>
                  <w:divBdr>
                    <w:top w:val="none" w:sz="0" w:space="0" w:color="auto"/>
                    <w:left w:val="none" w:sz="0" w:space="0" w:color="auto"/>
                    <w:bottom w:val="none" w:sz="0" w:space="0" w:color="auto"/>
                    <w:right w:val="none" w:sz="0" w:space="0" w:color="auto"/>
                  </w:divBdr>
                </w:div>
                <w:div w:id="458842388">
                  <w:marLeft w:val="0"/>
                  <w:marRight w:val="0"/>
                  <w:marTop w:val="0"/>
                  <w:marBottom w:val="0"/>
                  <w:divBdr>
                    <w:top w:val="none" w:sz="0" w:space="0" w:color="auto"/>
                    <w:left w:val="none" w:sz="0" w:space="0" w:color="auto"/>
                    <w:bottom w:val="none" w:sz="0" w:space="0" w:color="auto"/>
                    <w:right w:val="none" w:sz="0" w:space="0" w:color="auto"/>
                  </w:divBdr>
                </w:div>
                <w:div w:id="194001890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220213204">
          <w:marLeft w:val="0"/>
          <w:marRight w:val="0"/>
          <w:marTop w:val="0"/>
          <w:marBottom w:val="0"/>
          <w:divBdr>
            <w:top w:val="none" w:sz="0" w:space="0" w:color="auto"/>
            <w:left w:val="none" w:sz="0" w:space="0" w:color="auto"/>
            <w:bottom w:val="none" w:sz="0" w:space="0" w:color="auto"/>
            <w:right w:val="none" w:sz="0" w:space="0" w:color="auto"/>
          </w:divBdr>
          <w:divsChild>
            <w:div w:id="1496218523">
              <w:marLeft w:val="0"/>
              <w:marRight w:val="0"/>
              <w:marTop w:val="0"/>
              <w:marBottom w:val="0"/>
              <w:divBdr>
                <w:top w:val="single" w:sz="6" w:space="9" w:color="DFDFDF"/>
                <w:left w:val="none" w:sz="0" w:space="0" w:color="auto"/>
                <w:bottom w:val="single" w:sz="6" w:space="23" w:color="DFDFDF"/>
                <w:right w:val="none" w:sz="0" w:space="0" w:color="auto"/>
              </w:divBdr>
              <w:divsChild>
                <w:div w:id="376291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2181897">
          <w:marLeft w:val="0"/>
          <w:marRight w:val="0"/>
          <w:marTop w:val="0"/>
          <w:marBottom w:val="0"/>
          <w:divBdr>
            <w:top w:val="none" w:sz="0" w:space="0" w:color="auto"/>
            <w:left w:val="none" w:sz="0" w:space="0" w:color="auto"/>
            <w:bottom w:val="none" w:sz="0" w:space="0" w:color="auto"/>
            <w:right w:val="none" w:sz="0" w:space="0" w:color="auto"/>
          </w:divBdr>
          <w:divsChild>
            <w:div w:id="1852068780">
              <w:marLeft w:val="0"/>
              <w:marRight w:val="0"/>
              <w:marTop w:val="0"/>
              <w:marBottom w:val="0"/>
              <w:divBdr>
                <w:top w:val="none" w:sz="0" w:space="0" w:color="auto"/>
                <w:left w:val="none" w:sz="0" w:space="0" w:color="auto"/>
                <w:bottom w:val="none" w:sz="0" w:space="0" w:color="auto"/>
                <w:right w:val="none" w:sz="0" w:space="0" w:color="auto"/>
              </w:divBdr>
            </w:div>
          </w:divsChild>
        </w:div>
        <w:div w:id="1112091182">
          <w:marLeft w:val="0"/>
          <w:marRight w:val="0"/>
          <w:marTop w:val="0"/>
          <w:marBottom w:val="0"/>
          <w:divBdr>
            <w:top w:val="none" w:sz="0" w:space="0" w:color="auto"/>
            <w:left w:val="none" w:sz="0" w:space="0" w:color="auto"/>
            <w:bottom w:val="none" w:sz="0" w:space="0" w:color="auto"/>
            <w:right w:val="none" w:sz="0" w:space="0" w:color="auto"/>
          </w:divBdr>
          <w:divsChild>
            <w:div w:id="99034069">
              <w:marLeft w:val="0"/>
              <w:marRight w:val="0"/>
              <w:marTop w:val="0"/>
              <w:marBottom w:val="0"/>
              <w:divBdr>
                <w:top w:val="single" w:sz="6" w:space="9" w:color="DFDFDF"/>
                <w:left w:val="none" w:sz="0" w:space="0" w:color="auto"/>
                <w:bottom w:val="single" w:sz="6" w:space="23" w:color="DFDFDF"/>
                <w:right w:val="none" w:sz="0" w:space="0" w:color="auto"/>
              </w:divBdr>
              <w:divsChild>
                <w:div w:id="68348344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11973808">
          <w:marLeft w:val="0"/>
          <w:marRight w:val="0"/>
          <w:marTop w:val="0"/>
          <w:marBottom w:val="0"/>
          <w:divBdr>
            <w:top w:val="none" w:sz="0" w:space="0" w:color="auto"/>
            <w:left w:val="none" w:sz="0" w:space="0" w:color="auto"/>
            <w:bottom w:val="none" w:sz="0" w:space="0" w:color="auto"/>
            <w:right w:val="none" w:sz="0" w:space="0" w:color="auto"/>
          </w:divBdr>
          <w:divsChild>
            <w:div w:id="1137793960">
              <w:marLeft w:val="0"/>
              <w:marRight w:val="0"/>
              <w:marTop w:val="0"/>
              <w:marBottom w:val="0"/>
              <w:divBdr>
                <w:top w:val="none" w:sz="0" w:space="0" w:color="auto"/>
                <w:left w:val="none" w:sz="0" w:space="0" w:color="auto"/>
                <w:bottom w:val="none" w:sz="0" w:space="0" w:color="auto"/>
                <w:right w:val="none" w:sz="0" w:space="0" w:color="auto"/>
              </w:divBdr>
            </w:div>
          </w:divsChild>
        </w:div>
        <w:div w:id="1819613273">
          <w:marLeft w:val="0"/>
          <w:marRight w:val="0"/>
          <w:marTop w:val="0"/>
          <w:marBottom w:val="0"/>
          <w:divBdr>
            <w:top w:val="none" w:sz="0" w:space="0" w:color="auto"/>
            <w:left w:val="none" w:sz="0" w:space="0" w:color="auto"/>
            <w:bottom w:val="none" w:sz="0" w:space="0" w:color="auto"/>
            <w:right w:val="none" w:sz="0" w:space="0" w:color="auto"/>
          </w:divBdr>
          <w:divsChild>
            <w:div w:id="1710570243">
              <w:marLeft w:val="0"/>
              <w:marRight w:val="0"/>
              <w:marTop w:val="0"/>
              <w:marBottom w:val="0"/>
              <w:divBdr>
                <w:top w:val="single" w:sz="6" w:space="9" w:color="DFDFDF"/>
                <w:left w:val="none" w:sz="0" w:space="0" w:color="auto"/>
                <w:bottom w:val="single" w:sz="6" w:space="23" w:color="DFDFDF"/>
                <w:right w:val="none" w:sz="0" w:space="0" w:color="auto"/>
              </w:divBdr>
              <w:divsChild>
                <w:div w:id="7825313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0614724">
          <w:marLeft w:val="0"/>
          <w:marRight w:val="0"/>
          <w:marTop w:val="0"/>
          <w:marBottom w:val="0"/>
          <w:divBdr>
            <w:top w:val="none" w:sz="0" w:space="0" w:color="auto"/>
            <w:left w:val="none" w:sz="0" w:space="0" w:color="auto"/>
            <w:bottom w:val="none" w:sz="0" w:space="0" w:color="auto"/>
            <w:right w:val="none" w:sz="0" w:space="0" w:color="auto"/>
          </w:divBdr>
          <w:divsChild>
            <w:div w:id="313729977">
              <w:marLeft w:val="0"/>
              <w:marRight w:val="0"/>
              <w:marTop w:val="0"/>
              <w:marBottom w:val="0"/>
              <w:divBdr>
                <w:top w:val="none" w:sz="0" w:space="0" w:color="auto"/>
                <w:left w:val="none" w:sz="0" w:space="0" w:color="auto"/>
                <w:bottom w:val="none" w:sz="0" w:space="0" w:color="auto"/>
                <w:right w:val="none" w:sz="0" w:space="0" w:color="auto"/>
              </w:divBdr>
            </w:div>
          </w:divsChild>
        </w:div>
        <w:div w:id="1901162555">
          <w:marLeft w:val="0"/>
          <w:marRight w:val="0"/>
          <w:marTop w:val="0"/>
          <w:marBottom w:val="0"/>
          <w:divBdr>
            <w:top w:val="none" w:sz="0" w:space="0" w:color="auto"/>
            <w:left w:val="none" w:sz="0" w:space="0" w:color="auto"/>
            <w:bottom w:val="none" w:sz="0" w:space="0" w:color="auto"/>
            <w:right w:val="none" w:sz="0" w:space="0" w:color="auto"/>
          </w:divBdr>
          <w:divsChild>
            <w:div w:id="638151530">
              <w:marLeft w:val="0"/>
              <w:marRight w:val="0"/>
              <w:marTop w:val="0"/>
              <w:marBottom w:val="0"/>
              <w:divBdr>
                <w:top w:val="single" w:sz="6" w:space="9" w:color="DFDFDF"/>
                <w:left w:val="none" w:sz="0" w:space="0" w:color="auto"/>
                <w:bottom w:val="single" w:sz="6" w:space="23" w:color="DFDFDF"/>
                <w:right w:val="none" w:sz="0" w:space="0" w:color="auto"/>
              </w:divBdr>
              <w:divsChild>
                <w:div w:id="40575951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798223">
          <w:marLeft w:val="0"/>
          <w:marRight w:val="0"/>
          <w:marTop w:val="0"/>
          <w:marBottom w:val="0"/>
          <w:divBdr>
            <w:top w:val="none" w:sz="0" w:space="0" w:color="auto"/>
            <w:left w:val="none" w:sz="0" w:space="0" w:color="auto"/>
            <w:bottom w:val="none" w:sz="0" w:space="0" w:color="auto"/>
            <w:right w:val="none" w:sz="0" w:space="0" w:color="auto"/>
          </w:divBdr>
          <w:divsChild>
            <w:div w:id="832835685">
              <w:marLeft w:val="0"/>
              <w:marRight w:val="0"/>
              <w:marTop w:val="0"/>
              <w:marBottom w:val="0"/>
              <w:divBdr>
                <w:top w:val="none" w:sz="0" w:space="0" w:color="auto"/>
                <w:left w:val="none" w:sz="0" w:space="0" w:color="auto"/>
                <w:bottom w:val="none" w:sz="0" w:space="0" w:color="auto"/>
                <w:right w:val="none" w:sz="0" w:space="0" w:color="auto"/>
              </w:divBdr>
            </w:div>
          </w:divsChild>
        </w:div>
        <w:div w:id="240257141">
          <w:marLeft w:val="0"/>
          <w:marRight w:val="0"/>
          <w:marTop w:val="0"/>
          <w:marBottom w:val="0"/>
          <w:divBdr>
            <w:top w:val="none" w:sz="0" w:space="0" w:color="auto"/>
            <w:left w:val="none" w:sz="0" w:space="0" w:color="auto"/>
            <w:bottom w:val="none" w:sz="0" w:space="0" w:color="auto"/>
            <w:right w:val="none" w:sz="0" w:space="0" w:color="auto"/>
          </w:divBdr>
          <w:divsChild>
            <w:div w:id="1083065699">
              <w:marLeft w:val="0"/>
              <w:marRight w:val="0"/>
              <w:marTop w:val="0"/>
              <w:marBottom w:val="0"/>
              <w:divBdr>
                <w:top w:val="single" w:sz="6" w:space="9" w:color="DFDFDF"/>
                <w:left w:val="none" w:sz="0" w:space="0" w:color="auto"/>
                <w:bottom w:val="single" w:sz="6" w:space="23" w:color="DFDFDF"/>
                <w:right w:val="none" w:sz="0" w:space="0" w:color="auto"/>
              </w:divBdr>
              <w:divsChild>
                <w:div w:id="1955067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06509971">
          <w:marLeft w:val="0"/>
          <w:marRight w:val="0"/>
          <w:marTop w:val="0"/>
          <w:marBottom w:val="0"/>
          <w:divBdr>
            <w:top w:val="none" w:sz="0" w:space="0" w:color="auto"/>
            <w:left w:val="none" w:sz="0" w:space="0" w:color="auto"/>
            <w:bottom w:val="none" w:sz="0" w:space="0" w:color="auto"/>
            <w:right w:val="none" w:sz="0" w:space="0" w:color="auto"/>
          </w:divBdr>
          <w:divsChild>
            <w:div w:id="2013097209">
              <w:marLeft w:val="0"/>
              <w:marRight w:val="0"/>
              <w:marTop w:val="0"/>
              <w:marBottom w:val="0"/>
              <w:divBdr>
                <w:top w:val="none" w:sz="0" w:space="0" w:color="auto"/>
                <w:left w:val="none" w:sz="0" w:space="0" w:color="auto"/>
                <w:bottom w:val="none" w:sz="0" w:space="0" w:color="auto"/>
                <w:right w:val="none" w:sz="0" w:space="0" w:color="auto"/>
              </w:divBdr>
            </w:div>
          </w:divsChild>
        </w:div>
        <w:div w:id="1700860113">
          <w:marLeft w:val="0"/>
          <w:marRight w:val="0"/>
          <w:marTop w:val="0"/>
          <w:marBottom w:val="0"/>
          <w:divBdr>
            <w:top w:val="none" w:sz="0" w:space="0" w:color="auto"/>
            <w:left w:val="none" w:sz="0" w:space="0" w:color="auto"/>
            <w:bottom w:val="none" w:sz="0" w:space="0" w:color="auto"/>
            <w:right w:val="none" w:sz="0" w:space="0" w:color="auto"/>
          </w:divBdr>
          <w:divsChild>
            <w:div w:id="91245269">
              <w:marLeft w:val="0"/>
              <w:marRight w:val="0"/>
              <w:marTop w:val="0"/>
              <w:marBottom w:val="0"/>
              <w:divBdr>
                <w:top w:val="single" w:sz="6" w:space="9" w:color="DFDFDF"/>
                <w:left w:val="none" w:sz="0" w:space="0" w:color="auto"/>
                <w:bottom w:val="single" w:sz="6" w:space="23" w:color="DFDFDF"/>
                <w:right w:val="none" w:sz="0" w:space="0" w:color="auto"/>
              </w:divBdr>
              <w:divsChild>
                <w:div w:id="432981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03989026">
          <w:marLeft w:val="0"/>
          <w:marRight w:val="0"/>
          <w:marTop w:val="0"/>
          <w:marBottom w:val="0"/>
          <w:divBdr>
            <w:top w:val="none" w:sz="0" w:space="0" w:color="auto"/>
            <w:left w:val="none" w:sz="0" w:space="0" w:color="auto"/>
            <w:bottom w:val="none" w:sz="0" w:space="0" w:color="auto"/>
            <w:right w:val="none" w:sz="0" w:space="0" w:color="auto"/>
          </w:divBdr>
          <w:divsChild>
            <w:div w:id="6808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4215">
      <w:bodyDiv w:val="1"/>
      <w:marLeft w:val="0"/>
      <w:marRight w:val="0"/>
      <w:marTop w:val="0"/>
      <w:marBottom w:val="0"/>
      <w:divBdr>
        <w:top w:val="none" w:sz="0" w:space="0" w:color="auto"/>
        <w:left w:val="none" w:sz="0" w:space="0" w:color="auto"/>
        <w:bottom w:val="none" w:sz="0" w:space="0" w:color="auto"/>
        <w:right w:val="none" w:sz="0" w:space="0" w:color="auto"/>
      </w:divBdr>
      <w:divsChild>
        <w:div w:id="555550716">
          <w:marLeft w:val="0"/>
          <w:marRight w:val="0"/>
          <w:marTop w:val="0"/>
          <w:marBottom w:val="0"/>
          <w:divBdr>
            <w:top w:val="none" w:sz="0" w:space="0" w:color="auto"/>
            <w:left w:val="none" w:sz="0" w:space="0" w:color="auto"/>
            <w:bottom w:val="none" w:sz="0" w:space="0" w:color="auto"/>
            <w:right w:val="none" w:sz="0" w:space="0" w:color="auto"/>
          </w:divBdr>
        </w:div>
      </w:divsChild>
    </w:div>
    <w:div w:id="1405109293">
      <w:bodyDiv w:val="1"/>
      <w:marLeft w:val="0"/>
      <w:marRight w:val="0"/>
      <w:marTop w:val="0"/>
      <w:marBottom w:val="0"/>
      <w:divBdr>
        <w:top w:val="none" w:sz="0" w:space="0" w:color="auto"/>
        <w:left w:val="none" w:sz="0" w:space="0" w:color="auto"/>
        <w:bottom w:val="none" w:sz="0" w:space="0" w:color="auto"/>
        <w:right w:val="none" w:sz="0" w:space="0" w:color="auto"/>
      </w:divBdr>
      <w:divsChild>
        <w:div w:id="233783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503682">
      <w:bodyDiv w:val="1"/>
      <w:marLeft w:val="0"/>
      <w:marRight w:val="0"/>
      <w:marTop w:val="0"/>
      <w:marBottom w:val="0"/>
      <w:divBdr>
        <w:top w:val="none" w:sz="0" w:space="0" w:color="auto"/>
        <w:left w:val="none" w:sz="0" w:space="0" w:color="auto"/>
        <w:bottom w:val="none" w:sz="0" w:space="0" w:color="auto"/>
        <w:right w:val="none" w:sz="0" w:space="0" w:color="auto"/>
      </w:divBdr>
    </w:div>
    <w:div w:id="1634872821">
      <w:bodyDiv w:val="1"/>
      <w:marLeft w:val="0"/>
      <w:marRight w:val="0"/>
      <w:marTop w:val="0"/>
      <w:marBottom w:val="0"/>
      <w:divBdr>
        <w:top w:val="none" w:sz="0" w:space="0" w:color="auto"/>
        <w:left w:val="none" w:sz="0" w:space="0" w:color="auto"/>
        <w:bottom w:val="none" w:sz="0" w:space="0" w:color="auto"/>
        <w:right w:val="none" w:sz="0" w:space="0" w:color="auto"/>
      </w:divBdr>
      <w:divsChild>
        <w:div w:id="961307084">
          <w:marLeft w:val="0"/>
          <w:marRight w:val="0"/>
          <w:marTop w:val="240"/>
          <w:marBottom w:val="240"/>
          <w:divBdr>
            <w:top w:val="none" w:sz="0" w:space="0" w:color="auto"/>
            <w:left w:val="none" w:sz="0" w:space="0" w:color="auto"/>
            <w:bottom w:val="none" w:sz="0" w:space="0" w:color="auto"/>
            <w:right w:val="none" w:sz="0" w:space="0" w:color="auto"/>
          </w:divBdr>
          <w:divsChild>
            <w:div w:id="1683703247">
              <w:marLeft w:val="0"/>
              <w:marRight w:val="0"/>
              <w:marTop w:val="0"/>
              <w:marBottom w:val="0"/>
              <w:divBdr>
                <w:top w:val="none" w:sz="0" w:space="0" w:color="auto"/>
                <w:left w:val="none" w:sz="0" w:space="0" w:color="auto"/>
                <w:bottom w:val="none" w:sz="0" w:space="0" w:color="auto"/>
                <w:right w:val="none" w:sz="0" w:space="0" w:color="auto"/>
              </w:divBdr>
            </w:div>
          </w:divsChild>
        </w:div>
        <w:div w:id="1852983935">
          <w:marLeft w:val="0"/>
          <w:marRight w:val="0"/>
          <w:marTop w:val="450"/>
          <w:marBottom w:val="240"/>
          <w:divBdr>
            <w:top w:val="none" w:sz="0" w:space="0" w:color="auto"/>
            <w:left w:val="none" w:sz="0" w:space="0" w:color="auto"/>
            <w:bottom w:val="none" w:sz="0" w:space="0" w:color="auto"/>
            <w:right w:val="none" w:sz="0" w:space="0" w:color="auto"/>
          </w:divBdr>
        </w:div>
        <w:div w:id="892471190">
          <w:marLeft w:val="0"/>
          <w:marRight w:val="0"/>
          <w:marTop w:val="450"/>
          <w:marBottom w:val="240"/>
          <w:divBdr>
            <w:top w:val="none" w:sz="0" w:space="0" w:color="auto"/>
            <w:left w:val="none" w:sz="0" w:space="0" w:color="auto"/>
            <w:bottom w:val="none" w:sz="0" w:space="0" w:color="auto"/>
            <w:right w:val="none" w:sz="0" w:space="0" w:color="auto"/>
          </w:divBdr>
        </w:div>
        <w:div w:id="439036018">
          <w:marLeft w:val="0"/>
          <w:marRight w:val="0"/>
          <w:marTop w:val="240"/>
          <w:marBottom w:val="240"/>
          <w:divBdr>
            <w:top w:val="none" w:sz="0" w:space="0" w:color="auto"/>
            <w:left w:val="none" w:sz="0" w:space="0" w:color="auto"/>
            <w:bottom w:val="none" w:sz="0" w:space="0" w:color="auto"/>
            <w:right w:val="none" w:sz="0" w:space="0" w:color="auto"/>
          </w:divBdr>
        </w:div>
        <w:div w:id="1145388939">
          <w:marLeft w:val="0"/>
          <w:marRight w:val="0"/>
          <w:marTop w:val="450"/>
          <w:marBottom w:val="240"/>
          <w:divBdr>
            <w:top w:val="none" w:sz="0" w:space="0" w:color="auto"/>
            <w:left w:val="none" w:sz="0" w:space="0" w:color="auto"/>
            <w:bottom w:val="none" w:sz="0" w:space="0" w:color="auto"/>
            <w:right w:val="none" w:sz="0" w:space="0" w:color="auto"/>
          </w:divBdr>
        </w:div>
        <w:div w:id="1392000451">
          <w:marLeft w:val="0"/>
          <w:marRight w:val="0"/>
          <w:marTop w:val="240"/>
          <w:marBottom w:val="240"/>
          <w:divBdr>
            <w:top w:val="none" w:sz="0" w:space="0" w:color="auto"/>
            <w:left w:val="none" w:sz="0" w:space="0" w:color="auto"/>
            <w:bottom w:val="none" w:sz="0" w:space="0" w:color="auto"/>
            <w:right w:val="none" w:sz="0" w:space="0" w:color="auto"/>
          </w:divBdr>
        </w:div>
        <w:div w:id="1047950296">
          <w:marLeft w:val="0"/>
          <w:marRight w:val="0"/>
          <w:marTop w:val="450"/>
          <w:marBottom w:val="240"/>
          <w:divBdr>
            <w:top w:val="none" w:sz="0" w:space="0" w:color="auto"/>
            <w:left w:val="none" w:sz="0" w:space="0" w:color="auto"/>
            <w:bottom w:val="none" w:sz="0" w:space="0" w:color="auto"/>
            <w:right w:val="none" w:sz="0" w:space="0" w:color="auto"/>
          </w:divBdr>
        </w:div>
        <w:div w:id="101649374">
          <w:marLeft w:val="0"/>
          <w:marRight w:val="0"/>
          <w:marTop w:val="0"/>
          <w:marBottom w:val="0"/>
          <w:divBdr>
            <w:top w:val="none" w:sz="0" w:space="0" w:color="auto"/>
            <w:left w:val="none" w:sz="0" w:space="0" w:color="auto"/>
            <w:bottom w:val="none" w:sz="0" w:space="0" w:color="auto"/>
            <w:right w:val="none" w:sz="0" w:space="0" w:color="auto"/>
          </w:divBdr>
          <w:divsChild>
            <w:div w:id="7865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62474">
      <w:bodyDiv w:val="1"/>
      <w:marLeft w:val="0"/>
      <w:marRight w:val="0"/>
      <w:marTop w:val="0"/>
      <w:marBottom w:val="0"/>
      <w:divBdr>
        <w:top w:val="none" w:sz="0" w:space="0" w:color="auto"/>
        <w:left w:val="none" w:sz="0" w:space="0" w:color="auto"/>
        <w:bottom w:val="none" w:sz="0" w:space="0" w:color="auto"/>
        <w:right w:val="none" w:sz="0" w:space="0" w:color="auto"/>
      </w:divBdr>
    </w:div>
    <w:div w:id="1943416452">
      <w:bodyDiv w:val="1"/>
      <w:marLeft w:val="0"/>
      <w:marRight w:val="0"/>
      <w:marTop w:val="0"/>
      <w:marBottom w:val="0"/>
      <w:divBdr>
        <w:top w:val="none" w:sz="0" w:space="0" w:color="auto"/>
        <w:left w:val="none" w:sz="0" w:space="0" w:color="auto"/>
        <w:bottom w:val="none" w:sz="0" w:space="0" w:color="auto"/>
        <w:right w:val="none" w:sz="0" w:space="0" w:color="auto"/>
      </w:divBdr>
    </w:div>
    <w:div w:id="1947540183">
      <w:bodyDiv w:val="1"/>
      <w:marLeft w:val="0"/>
      <w:marRight w:val="0"/>
      <w:marTop w:val="0"/>
      <w:marBottom w:val="0"/>
      <w:divBdr>
        <w:top w:val="none" w:sz="0" w:space="0" w:color="auto"/>
        <w:left w:val="none" w:sz="0" w:space="0" w:color="auto"/>
        <w:bottom w:val="none" w:sz="0" w:space="0" w:color="auto"/>
        <w:right w:val="none" w:sz="0" w:space="0" w:color="auto"/>
      </w:divBdr>
    </w:div>
    <w:div w:id="1976833580">
      <w:bodyDiv w:val="1"/>
      <w:marLeft w:val="0"/>
      <w:marRight w:val="0"/>
      <w:marTop w:val="0"/>
      <w:marBottom w:val="0"/>
      <w:divBdr>
        <w:top w:val="none" w:sz="0" w:space="0" w:color="auto"/>
        <w:left w:val="none" w:sz="0" w:space="0" w:color="auto"/>
        <w:bottom w:val="none" w:sz="0" w:space="0" w:color="auto"/>
        <w:right w:val="none" w:sz="0" w:space="0" w:color="auto"/>
      </w:divBdr>
      <w:divsChild>
        <w:div w:id="902376565">
          <w:marLeft w:val="0"/>
          <w:marRight w:val="0"/>
          <w:marTop w:val="450"/>
          <w:marBottom w:val="240"/>
          <w:divBdr>
            <w:top w:val="none" w:sz="0" w:space="0" w:color="auto"/>
            <w:left w:val="none" w:sz="0" w:space="0" w:color="auto"/>
            <w:bottom w:val="none" w:sz="0" w:space="0" w:color="auto"/>
            <w:right w:val="none" w:sz="0" w:space="0" w:color="auto"/>
          </w:divBdr>
        </w:div>
        <w:div w:id="267853162">
          <w:marLeft w:val="0"/>
          <w:marRight w:val="0"/>
          <w:marTop w:val="450"/>
          <w:marBottom w:val="240"/>
          <w:divBdr>
            <w:top w:val="none" w:sz="0" w:space="0" w:color="auto"/>
            <w:left w:val="none" w:sz="0" w:space="0" w:color="auto"/>
            <w:bottom w:val="none" w:sz="0" w:space="0" w:color="auto"/>
            <w:right w:val="none" w:sz="0" w:space="0" w:color="auto"/>
          </w:divBdr>
        </w:div>
        <w:div w:id="1968007000">
          <w:marLeft w:val="0"/>
          <w:marRight w:val="0"/>
          <w:marTop w:val="450"/>
          <w:marBottom w:val="240"/>
          <w:divBdr>
            <w:top w:val="none" w:sz="0" w:space="0" w:color="auto"/>
            <w:left w:val="none" w:sz="0" w:space="0" w:color="auto"/>
            <w:bottom w:val="none" w:sz="0" w:space="0" w:color="auto"/>
            <w:right w:val="none" w:sz="0" w:space="0" w:color="auto"/>
          </w:divBdr>
        </w:div>
        <w:div w:id="1629045699">
          <w:marLeft w:val="0"/>
          <w:marRight w:val="0"/>
          <w:marTop w:val="450"/>
          <w:marBottom w:val="240"/>
          <w:divBdr>
            <w:top w:val="none" w:sz="0" w:space="0" w:color="auto"/>
            <w:left w:val="none" w:sz="0" w:space="0" w:color="auto"/>
            <w:bottom w:val="none" w:sz="0" w:space="0" w:color="auto"/>
            <w:right w:val="none" w:sz="0" w:space="0" w:color="auto"/>
          </w:divBdr>
        </w:div>
        <w:div w:id="1152528450">
          <w:marLeft w:val="0"/>
          <w:marRight w:val="0"/>
          <w:marTop w:val="450"/>
          <w:marBottom w:val="240"/>
          <w:divBdr>
            <w:top w:val="none" w:sz="0" w:space="0" w:color="auto"/>
            <w:left w:val="none" w:sz="0" w:space="0" w:color="auto"/>
            <w:bottom w:val="none" w:sz="0" w:space="0" w:color="auto"/>
            <w:right w:val="none" w:sz="0" w:space="0" w:color="auto"/>
          </w:divBdr>
        </w:div>
      </w:divsChild>
    </w:div>
    <w:div w:id="2088456494">
      <w:bodyDiv w:val="1"/>
      <w:marLeft w:val="0"/>
      <w:marRight w:val="0"/>
      <w:marTop w:val="0"/>
      <w:marBottom w:val="0"/>
      <w:divBdr>
        <w:top w:val="none" w:sz="0" w:space="0" w:color="auto"/>
        <w:left w:val="none" w:sz="0" w:space="0" w:color="auto"/>
        <w:bottom w:val="none" w:sz="0" w:space="0" w:color="auto"/>
        <w:right w:val="none" w:sz="0" w:space="0" w:color="auto"/>
      </w:divBdr>
    </w:div>
    <w:div w:id="21369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https://archive.ourworldindata.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hyperlink" Target="mailto:ecocom-washington@mfa.g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otopapas\Downloads\oil-proved-reserves.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l-GR" sz="1200">
                <a:solidFill>
                  <a:schemeClr val="tx1"/>
                </a:solidFill>
              </a:rPr>
              <a:t>Βεβαιωμένα αποθέματα πετρελαίου</a:t>
            </a:r>
            <a:r>
              <a:rPr lang="el-GR" sz="1200" baseline="0">
                <a:solidFill>
                  <a:schemeClr val="tx1"/>
                </a:solidFill>
              </a:rPr>
              <a:t> (2020)</a:t>
            </a:r>
            <a:endParaRPr lang="en-US" sz="1200">
              <a:solidFill>
                <a:schemeClr val="tx1"/>
              </a:solidFill>
            </a:endParaRPr>
          </a:p>
        </c:rich>
      </c:tx>
      <c:layout>
        <c:manualLayout>
          <c:xMode val="edge"/>
          <c:yMode val="edge"/>
          <c:x val="0.29014658881925476"/>
          <c:y val="2.2700559169234282E-3"/>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DDB5-4A03-9067-4700295450F2}"/>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DDB5-4A03-9067-4700295450F2}"/>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DDB5-4A03-9067-4700295450F2}"/>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DDB5-4A03-9067-4700295450F2}"/>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DDB5-4A03-9067-4700295450F2}"/>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DDB5-4A03-9067-4700295450F2}"/>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DDB5-4A03-9067-4700295450F2}"/>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DDB5-4A03-9067-4700295450F2}"/>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DDB5-4A03-9067-4700295450F2}"/>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DDB5-4A03-9067-4700295450F2}"/>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5-DDB5-4A03-9067-4700295450F2}"/>
              </c:ext>
            </c:extLst>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17-DDB5-4A03-9067-4700295450F2}"/>
              </c:ext>
            </c:extLst>
          </c:dPt>
          <c:dPt>
            <c:idx val="12"/>
            <c:bubble3D val="0"/>
            <c:spPr>
              <a:gradFill>
                <a:gsLst>
                  <a:gs pos="100000">
                    <a:schemeClr val="accent1">
                      <a:lumMod val="80000"/>
                      <a:lumOff val="20000"/>
                      <a:lumMod val="60000"/>
                      <a:lumOff val="40000"/>
                    </a:schemeClr>
                  </a:gs>
                  <a:gs pos="0">
                    <a:schemeClr val="accent1">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9-DDB5-4A03-9067-4700295450F2}"/>
              </c:ext>
            </c:extLst>
          </c:dPt>
          <c:dPt>
            <c:idx val="13"/>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B-DDB5-4A03-9067-4700295450F2}"/>
              </c:ext>
            </c:extLst>
          </c:dPt>
          <c:dPt>
            <c:idx val="14"/>
            <c:bubble3D val="0"/>
            <c:spPr>
              <a:gradFill>
                <a:gsLst>
                  <a:gs pos="100000">
                    <a:schemeClr val="accent3">
                      <a:lumMod val="80000"/>
                      <a:lumOff val="20000"/>
                      <a:lumMod val="60000"/>
                      <a:lumOff val="40000"/>
                    </a:schemeClr>
                  </a:gs>
                  <a:gs pos="0">
                    <a:schemeClr val="accent3">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D-DDB5-4A03-9067-4700295450F2}"/>
              </c:ext>
            </c:extLst>
          </c:dPt>
          <c:dLbls>
            <c:dLbl>
              <c:idx val="10"/>
              <c:layout>
                <c:manualLayout>
                  <c:x val="-7.745503716215435E-2"/>
                  <c:y val="-5.893183952720860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DDB5-4A03-9067-4700295450F2}"/>
                </c:ext>
              </c:extLst>
            </c:dLbl>
            <c:dLbl>
              <c:idx val="11"/>
              <c:layout>
                <c:manualLayout>
                  <c:x val="-5.5325026544395936E-3"/>
                  <c:y val="5.893183952720860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DDB5-4A03-9067-4700295450F2}"/>
                </c:ext>
              </c:extLst>
            </c:dLbl>
            <c:dLbl>
              <c:idx val="12"/>
              <c:layout>
                <c:manualLayout>
                  <c:x val="1.2909172860359051E-2"/>
                  <c:y val="2.94659197636044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DDB5-4A03-9067-4700295450F2}"/>
                </c:ext>
              </c:extLst>
            </c:dLbl>
            <c:dLbl>
              <c:idx val="13"/>
              <c:layout>
                <c:manualLayout>
                  <c:x val="7.3766702059194587E-3"/>
                  <c:y val="-5.893183952720886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DDB5-4A03-9067-4700295450F2}"/>
                </c:ext>
              </c:extLst>
            </c:dLbl>
            <c:dLbl>
              <c:idx val="14"/>
              <c:layout>
                <c:manualLayout>
                  <c:x val="4.0571686132556954E-2"/>
                  <c:y val="-2.946591976360457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DDB5-4A03-9067-4700295450F2}"/>
                </c:ext>
              </c:extLst>
            </c:dLbl>
            <c:dLbl>
              <c:idx val="17"/>
              <c:layout>
                <c:manualLayout>
                  <c:x val="3.5039183478117429E-2"/>
                  <c:y val="-8.8397759290813321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E-DDB5-4A03-9067-4700295450F2}"/>
                </c:ext>
              </c:extLst>
            </c:dLbl>
            <c:dLbl>
              <c:idx val="18"/>
              <c:layout>
                <c:manualLayout>
                  <c:x val="9.0364210022513367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DDB5-4A03-9067-4700295450F2}"/>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Sheet2!$A$3:$A$17</c:f>
              <c:strCache>
                <c:ptCount val="15"/>
                <c:pt idx="0">
                  <c:v>Βενεζουέλα</c:v>
                </c:pt>
                <c:pt idx="1">
                  <c:v>Σαουδική Αραβία</c:v>
                </c:pt>
                <c:pt idx="2">
                  <c:v>Καναδάς</c:v>
                </c:pt>
                <c:pt idx="3">
                  <c:v>Ιράν</c:v>
                </c:pt>
                <c:pt idx="4">
                  <c:v>Ιράκ</c:v>
                </c:pt>
                <c:pt idx="5">
                  <c:v>Ρωσσία</c:v>
                </c:pt>
                <c:pt idx="6">
                  <c:v>Κουβέιτ</c:v>
                </c:pt>
                <c:pt idx="7">
                  <c:v>ΗΑΕ</c:v>
                </c:pt>
                <c:pt idx="8">
                  <c:v>ΗΠΑ</c:v>
                </c:pt>
                <c:pt idx="9">
                  <c:v>Λιβύη</c:v>
                </c:pt>
                <c:pt idx="10">
                  <c:v>Νιγηρία</c:v>
                </c:pt>
                <c:pt idx="11">
                  <c:v>Καζακστάν</c:v>
                </c:pt>
                <c:pt idx="12">
                  <c:v>Κίνα</c:v>
                </c:pt>
                <c:pt idx="13">
                  <c:v>Κατάρ</c:v>
                </c:pt>
                <c:pt idx="14">
                  <c:v>Λοιπές χώρες</c:v>
                </c:pt>
              </c:strCache>
            </c:strRef>
          </c:cat>
          <c:val>
            <c:numRef>
              <c:f>Sheet2!$B$3:$B$17</c:f>
              <c:numCache>
                <c:formatCode>#,##0</c:formatCode>
                <c:ptCount val="15"/>
                <c:pt idx="0">
                  <c:v>41439105000</c:v>
                </c:pt>
                <c:pt idx="1">
                  <c:v>40582685000</c:v>
                </c:pt>
                <c:pt idx="2">
                  <c:v>22927151000</c:v>
                </c:pt>
                <c:pt idx="3">
                  <c:v>21523920000</c:v>
                </c:pt>
                <c:pt idx="4">
                  <c:v>19780592000</c:v>
                </c:pt>
                <c:pt idx="5">
                  <c:v>14704498000</c:v>
                </c:pt>
                <c:pt idx="6">
                  <c:v>13844600000</c:v>
                </c:pt>
                <c:pt idx="7">
                  <c:v>13339920000</c:v>
                </c:pt>
                <c:pt idx="8">
                  <c:v>9378456000</c:v>
                </c:pt>
                <c:pt idx="9">
                  <c:v>6596713000</c:v>
                </c:pt>
                <c:pt idx="10">
                  <c:v>5031795700</c:v>
                </c:pt>
                <c:pt idx="11">
                  <c:v>4092000000</c:v>
                </c:pt>
                <c:pt idx="12">
                  <c:v>3541320200</c:v>
                </c:pt>
                <c:pt idx="13">
                  <c:v>3443281400</c:v>
                </c:pt>
                <c:pt idx="14">
                  <c:v>14976194102</c:v>
                </c:pt>
              </c:numCache>
            </c:numRef>
          </c:val>
          <c:extLst>
            <c:ext xmlns:c16="http://schemas.microsoft.com/office/drawing/2014/chart" uri="{C3380CC4-5D6E-409C-BE32-E72D297353CC}">
              <c16:uniqueId val="{00000020-DDB5-4A03-9067-4700295450F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26B12-8710-4634-9D66-970FA2481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Intern3</dc:creator>
  <cp:keywords/>
  <dc:description/>
  <cp:lastModifiedBy>Dionysios Protopapas</cp:lastModifiedBy>
  <cp:revision>4</cp:revision>
  <cp:lastPrinted>2026-01-05T22:12:00Z</cp:lastPrinted>
  <dcterms:created xsi:type="dcterms:W3CDTF">2026-01-07T17:44:00Z</dcterms:created>
  <dcterms:modified xsi:type="dcterms:W3CDTF">2026-01-07T17:46:00Z</dcterms:modified>
</cp:coreProperties>
</file>